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AECE" w14:textId="2A246B5D" w:rsidR="00637216" w:rsidRDefault="00143698" w:rsidP="0014369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Drought Committee  </w:t>
      </w:r>
    </w:p>
    <w:p w14:paraId="39E2F21E" w14:textId="22066C1F" w:rsidR="00143698" w:rsidRDefault="00143698" w:rsidP="0014369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Terms of Reference</w:t>
      </w:r>
    </w:p>
    <w:p w14:paraId="0E639048" w14:textId="77777777" w:rsidR="00143698" w:rsidRDefault="00143698" w:rsidP="00143698">
      <w:pPr>
        <w:jc w:val="center"/>
        <w:rPr>
          <w:sz w:val="28"/>
          <w:szCs w:val="28"/>
          <w:lang w:val="en-US"/>
        </w:rPr>
      </w:pPr>
    </w:p>
    <w:p w14:paraId="2CC31102" w14:textId="14F760BB" w:rsidR="00143698" w:rsidRPr="00143698" w:rsidRDefault="00143698" w:rsidP="00143698">
      <w:pPr>
        <w:rPr>
          <w:b/>
          <w:bCs/>
          <w:sz w:val="24"/>
          <w:szCs w:val="24"/>
          <w:lang w:val="en-US"/>
        </w:rPr>
      </w:pPr>
      <w:r w:rsidRPr="00143698">
        <w:rPr>
          <w:b/>
          <w:bCs/>
          <w:sz w:val="24"/>
          <w:szCs w:val="24"/>
          <w:lang w:val="en-US"/>
        </w:rPr>
        <w:t>Purpose</w:t>
      </w:r>
    </w:p>
    <w:p w14:paraId="6B542A5E" w14:textId="3566219E" w:rsidR="00143698" w:rsidRDefault="00143698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purpose of this committee is to prepare for </w:t>
      </w:r>
      <w:r w:rsidR="00876A8B">
        <w:rPr>
          <w:sz w:val="24"/>
          <w:szCs w:val="24"/>
          <w:lang w:val="en-US"/>
        </w:rPr>
        <w:t xml:space="preserve">drought </w:t>
      </w:r>
      <w:r>
        <w:rPr>
          <w:sz w:val="24"/>
          <w:szCs w:val="24"/>
          <w:lang w:val="en-US"/>
        </w:rPr>
        <w:t xml:space="preserve">conditions and advocate for the industry with government when water allocations and curtailment orders are being considered and implemented.  </w:t>
      </w:r>
    </w:p>
    <w:p w14:paraId="1BF9BF54" w14:textId="77777777" w:rsidR="00143698" w:rsidRDefault="00143698" w:rsidP="00143698">
      <w:pPr>
        <w:rPr>
          <w:sz w:val="24"/>
          <w:szCs w:val="24"/>
          <w:lang w:val="en-US"/>
        </w:rPr>
      </w:pPr>
    </w:p>
    <w:p w14:paraId="77C17331" w14:textId="779A7E2C" w:rsidR="00143698" w:rsidRPr="00143698" w:rsidRDefault="00143698" w:rsidP="00143698">
      <w:pPr>
        <w:rPr>
          <w:b/>
          <w:bCs/>
          <w:sz w:val="24"/>
          <w:szCs w:val="24"/>
          <w:lang w:val="en-US"/>
        </w:rPr>
      </w:pPr>
      <w:r w:rsidRPr="00143698">
        <w:rPr>
          <w:b/>
          <w:bCs/>
          <w:sz w:val="24"/>
          <w:szCs w:val="24"/>
          <w:lang w:val="en-US"/>
        </w:rPr>
        <w:t>Scope</w:t>
      </w:r>
    </w:p>
    <w:p w14:paraId="53B06233" w14:textId="4498AEB8" w:rsidR="00143698" w:rsidRDefault="00143698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EB4F5E">
        <w:rPr>
          <w:sz w:val="24"/>
          <w:szCs w:val="24"/>
          <w:lang w:val="en-US"/>
        </w:rPr>
        <w:t>regional scope</w:t>
      </w:r>
      <w:r>
        <w:rPr>
          <w:sz w:val="24"/>
          <w:szCs w:val="24"/>
          <w:lang w:val="en-US"/>
        </w:rPr>
        <w:t xml:space="preserve"> includes all of BC.  Messaging is for municipal, water authorities and provincial governments.  It may also include federal government officials where the Department of Fisheries and Oceans is involved.</w:t>
      </w:r>
    </w:p>
    <w:p w14:paraId="781A5827" w14:textId="77777777" w:rsidR="00143698" w:rsidRDefault="00143698" w:rsidP="00143698">
      <w:pPr>
        <w:rPr>
          <w:sz w:val="24"/>
          <w:szCs w:val="24"/>
          <w:lang w:val="en-US"/>
        </w:rPr>
      </w:pPr>
    </w:p>
    <w:p w14:paraId="23CD484B" w14:textId="5D4BF2AC" w:rsidR="00143698" w:rsidRPr="00143698" w:rsidRDefault="00143698" w:rsidP="00143698">
      <w:pPr>
        <w:rPr>
          <w:b/>
          <w:bCs/>
          <w:sz w:val="24"/>
          <w:szCs w:val="24"/>
          <w:lang w:val="en-US"/>
        </w:rPr>
      </w:pPr>
      <w:r w:rsidRPr="00143698">
        <w:rPr>
          <w:b/>
          <w:bCs/>
          <w:sz w:val="24"/>
          <w:szCs w:val="24"/>
          <w:lang w:val="en-US"/>
        </w:rPr>
        <w:t>Authority</w:t>
      </w:r>
    </w:p>
    <w:p w14:paraId="78B6D44C" w14:textId="7A473B6F" w:rsidR="00143698" w:rsidRPr="00143698" w:rsidRDefault="00143698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committee submits the key messages and the advocacy plan to the BCLNA Board </w:t>
      </w:r>
      <w:r w:rsidR="00EB4F5E">
        <w:rPr>
          <w:sz w:val="24"/>
          <w:szCs w:val="24"/>
          <w:lang w:val="en-US"/>
        </w:rPr>
        <w:t xml:space="preserve">of Directors </w:t>
      </w:r>
      <w:r>
        <w:rPr>
          <w:sz w:val="24"/>
          <w:szCs w:val="24"/>
          <w:lang w:val="en-US"/>
        </w:rPr>
        <w:t>for final approval before any advocacy efforts are undertaken.</w:t>
      </w:r>
    </w:p>
    <w:p w14:paraId="11C07B63" w14:textId="77777777" w:rsidR="00143698" w:rsidRDefault="00143698" w:rsidP="00143698">
      <w:pPr>
        <w:rPr>
          <w:sz w:val="24"/>
          <w:szCs w:val="24"/>
          <w:lang w:val="en-US"/>
        </w:rPr>
      </w:pPr>
    </w:p>
    <w:p w14:paraId="2F721C5A" w14:textId="1F9DA4C9" w:rsidR="00143698" w:rsidRDefault="00143698" w:rsidP="00143698">
      <w:pPr>
        <w:rPr>
          <w:b/>
          <w:bCs/>
          <w:sz w:val="24"/>
          <w:szCs w:val="24"/>
          <w:lang w:val="en-US"/>
        </w:rPr>
      </w:pPr>
      <w:r w:rsidRPr="00143698">
        <w:rPr>
          <w:b/>
          <w:bCs/>
          <w:sz w:val="24"/>
          <w:szCs w:val="24"/>
          <w:lang w:val="en-US"/>
        </w:rPr>
        <w:t>Composition</w:t>
      </w:r>
    </w:p>
    <w:p w14:paraId="6A76B0F9" w14:textId="4366F6AC" w:rsidR="00143698" w:rsidRDefault="00143698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Committee will have representatives from the grower, retail and landscape commodities as well as suppliers.  </w:t>
      </w:r>
      <w:r w:rsidR="00EB4F5E">
        <w:rPr>
          <w:sz w:val="24"/>
          <w:szCs w:val="24"/>
          <w:lang w:val="en-US"/>
        </w:rPr>
        <w:t xml:space="preserve">The total number of members is not to exceed 12.  </w:t>
      </w:r>
      <w:r>
        <w:rPr>
          <w:sz w:val="24"/>
          <w:szCs w:val="24"/>
          <w:lang w:val="en-US"/>
        </w:rPr>
        <w:t>Other closely related industries may be invited including flower growers, turf grass growers, cement companies and others.</w:t>
      </w:r>
    </w:p>
    <w:p w14:paraId="04D922D1" w14:textId="77777777" w:rsidR="00143698" w:rsidRDefault="00143698" w:rsidP="00143698">
      <w:pPr>
        <w:rPr>
          <w:sz w:val="24"/>
          <w:szCs w:val="24"/>
          <w:lang w:val="en-US"/>
        </w:rPr>
      </w:pPr>
    </w:p>
    <w:p w14:paraId="6F47A3F7" w14:textId="77777777" w:rsidR="00143698" w:rsidRDefault="00143698" w:rsidP="0014369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Particular tasks</w:t>
      </w:r>
      <w:proofErr w:type="gramEnd"/>
      <w:r>
        <w:rPr>
          <w:sz w:val="24"/>
          <w:szCs w:val="24"/>
          <w:lang w:val="en-US"/>
        </w:rPr>
        <w:t xml:space="preserve"> which may be </w:t>
      </w:r>
      <w:proofErr w:type="gramStart"/>
      <w:r>
        <w:rPr>
          <w:sz w:val="24"/>
          <w:szCs w:val="24"/>
          <w:lang w:val="en-US"/>
        </w:rPr>
        <w:t>iterative</w:t>
      </w:r>
      <w:proofErr w:type="gramEnd"/>
      <w:r>
        <w:rPr>
          <w:sz w:val="24"/>
          <w:szCs w:val="24"/>
          <w:lang w:val="en-US"/>
        </w:rPr>
        <w:t xml:space="preserve"> include:</w:t>
      </w:r>
    </w:p>
    <w:p w14:paraId="2A6A3E4E" w14:textId="77777777" w:rsidR="00143698" w:rsidRDefault="00143698" w:rsidP="00143698">
      <w:pPr>
        <w:ind w:left="0"/>
        <w:rPr>
          <w:sz w:val="24"/>
          <w:szCs w:val="24"/>
          <w:lang w:val="en-US"/>
        </w:rPr>
      </w:pPr>
    </w:p>
    <w:p w14:paraId="48E50EAD" w14:textId="258E3041" w:rsidR="00143698" w:rsidRDefault="00143698" w:rsidP="0014369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Information gathering and reporting to the committee</w:t>
      </w:r>
    </w:p>
    <w:p w14:paraId="1670E29C" w14:textId="77777777" w:rsidR="00143698" w:rsidRDefault="00143698" w:rsidP="0014369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Collaborating with related industries and associations</w:t>
      </w:r>
    </w:p>
    <w:p w14:paraId="03B23366" w14:textId="77777777" w:rsidR="00143698" w:rsidRDefault="00143698" w:rsidP="0014369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Developing key messages</w:t>
      </w:r>
    </w:p>
    <w:p w14:paraId="666A706C" w14:textId="77777777" w:rsidR="00143698" w:rsidRDefault="00143698" w:rsidP="0014369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Reporting</w:t>
      </w:r>
      <w:proofErr w:type="gramEnd"/>
      <w:r>
        <w:rPr>
          <w:sz w:val="24"/>
          <w:szCs w:val="24"/>
          <w:lang w:val="en-US"/>
        </w:rPr>
        <w:t xml:space="preserve"> on Drought and other water </w:t>
      </w:r>
      <w:proofErr w:type="gramStart"/>
      <w:r>
        <w:rPr>
          <w:sz w:val="24"/>
          <w:szCs w:val="24"/>
          <w:lang w:val="en-US"/>
        </w:rPr>
        <w:t>issue</w:t>
      </w:r>
      <w:proofErr w:type="gramEnd"/>
      <w:r>
        <w:rPr>
          <w:sz w:val="24"/>
          <w:szCs w:val="24"/>
          <w:lang w:val="en-US"/>
        </w:rPr>
        <w:t xml:space="preserve"> impacts on industry</w:t>
      </w:r>
    </w:p>
    <w:p w14:paraId="1C67CB0F" w14:textId="77777777" w:rsidR="00143698" w:rsidRDefault="00143698" w:rsidP="0014369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Advocacy plan development</w:t>
      </w:r>
    </w:p>
    <w:p w14:paraId="54E5C089" w14:textId="3FE17718" w:rsidR="00143698" w:rsidRDefault="00143698" w:rsidP="0014369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Advocating key messages with local politicians</w:t>
      </w:r>
    </w:p>
    <w:p w14:paraId="62350A1A" w14:textId="77777777" w:rsidR="00143698" w:rsidRDefault="00143698" w:rsidP="00143698">
      <w:pPr>
        <w:rPr>
          <w:sz w:val="24"/>
          <w:szCs w:val="24"/>
          <w:lang w:val="en-US"/>
        </w:rPr>
      </w:pPr>
    </w:p>
    <w:p w14:paraId="0F9E6141" w14:textId="6156613D" w:rsidR="00143698" w:rsidRDefault="00143698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Committee will be supported by BCLNA staff</w:t>
      </w:r>
      <w:r w:rsidR="00EB4F5E">
        <w:rPr>
          <w:sz w:val="24"/>
          <w:szCs w:val="24"/>
          <w:lang w:val="en-US"/>
        </w:rPr>
        <w:t xml:space="preserve"> for minutes.</w:t>
      </w:r>
    </w:p>
    <w:p w14:paraId="4DAB4828" w14:textId="77777777" w:rsidR="00EB4F5E" w:rsidRDefault="00EB4F5E" w:rsidP="00143698">
      <w:pPr>
        <w:rPr>
          <w:sz w:val="24"/>
          <w:szCs w:val="24"/>
          <w:lang w:val="en-US"/>
        </w:rPr>
      </w:pPr>
    </w:p>
    <w:p w14:paraId="5D96F7DE" w14:textId="65C2C473" w:rsidR="00EB4F5E" w:rsidRDefault="00EB4F5E" w:rsidP="0014369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Chairperson</w:t>
      </w:r>
    </w:p>
    <w:p w14:paraId="5970FCD4" w14:textId="591D0BD1" w:rsidR="00EB4F5E" w:rsidRDefault="00EB4F5E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Chair will be </w:t>
      </w:r>
      <w:r w:rsidR="00876A8B">
        <w:rPr>
          <w:sz w:val="24"/>
          <w:szCs w:val="24"/>
          <w:lang w:val="en-US"/>
        </w:rPr>
        <w:t>appointed or elected by the Committee’s BCLNA members.</w:t>
      </w:r>
    </w:p>
    <w:p w14:paraId="271FABE5" w14:textId="77777777" w:rsidR="00876A8B" w:rsidRPr="00EB4F5E" w:rsidRDefault="00876A8B" w:rsidP="00143698">
      <w:pPr>
        <w:rPr>
          <w:sz w:val="24"/>
          <w:szCs w:val="24"/>
          <w:lang w:val="en-US"/>
        </w:rPr>
      </w:pPr>
    </w:p>
    <w:p w14:paraId="6813C6BD" w14:textId="307397E5" w:rsidR="00EB4F5E" w:rsidRPr="00EB4F5E" w:rsidRDefault="00EB4F5E" w:rsidP="00143698">
      <w:pPr>
        <w:rPr>
          <w:b/>
          <w:bCs/>
          <w:sz w:val="24"/>
          <w:szCs w:val="24"/>
          <w:lang w:val="en-US"/>
        </w:rPr>
      </w:pPr>
      <w:r w:rsidRPr="00EB4F5E">
        <w:rPr>
          <w:b/>
          <w:bCs/>
          <w:sz w:val="24"/>
          <w:szCs w:val="24"/>
          <w:lang w:val="en-US"/>
        </w:rPr>
        <w:t>Current Membership</w:t>
      </w:r>
    </w:p>
    <w:p w14:paraId="44AFF23A" w14:textId="6DF831E4" w:rsidR="00143698" w:rsidRDefault="00B20D33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Heike Stippler, </w:t>
      </w:r>
      <w:r w:rsidR="00EB4F5E">
        <w:rPr>
          <w:sz w:val="24"/>
          <w:szCs w:val="24"/>
          <w:lang w:val="en-US"/>
        </w:rPr>
        <w:t xml:space="preserve">Len Smit, Martin </w:t>
      </w:r>
      <w:proofErr w:type="spellStart"/>
      <w:r w:rsidR="00EB4F5E">
        <w:rPr>
          <w:sz w:val="24"/>
          <w:szCs w:val="24"/>
          <w:lang w:val="en-US"/>
        </w:rPr>
        <w:t>Duyvestyn</w:t>
      </w:r>
      <w:proofErr w:type="spellEnd"/>
      <w:r w:rsidR="00EB4F5E">
        <w:rPr>
          <w:sz w:val="24"/>
          <w:szCs w:val="24"/>
          <w:lang w:val="en-US"/>
        </w:rPr>
        <w:t>, Brian Ramo</w:t>
      </w:r>
      <w:r>
        <w:rPr>
          <w:sz w:val="24"/>
          <w:szCs w:val="24"/>
          <w:lang w:val="en-US"/>
        </w:rPr>
        <w:t>r</w:t>
      </w:r>
      <w:r w:rsidR="00EB4F5E">
        <w:rPr>
          <w:sz w:val="24"/>
          <w:szCs w:val="24"/>
          <w:lang w:val="en-US"/>
        </w:rPr>
        <w:t>, Jason Bruce</w:t>
      </w:r>
      <w:r>
        <w:rPr>
          <w:sz w:val="24"/>
          <w:szCs w:val="24"/>
          <w:lang w:val="en-US"/>
        </w:rPr>
        <w:t xml:space="preserve">, </w:t>
      </w:r>
      <w:r w:rsidR="00EB4F5E">
        <w:rPr>
          <w:sz w:val="24"/>
          <w:szCs w:val="24"/>
          <w:lang w:val="en-US"/>
        </w:rPr>
        <w:t>Keith Wildeboer</w:t>
      </w:r>
      <w:r>
        <w:rPr>
          <w:sz w:val="24"/>
          <w:szCs w:val="24"/>
          <w:lang w:val="en-US"/>
        </w:rPr>
        <w:t xml:space="preserve">, Bill Hardy, Miles Hunter, </w:t>
      </w:r>
      <w:proofErr w:type="spellStart"/>
      <w:r>
        <w:rPr>
          <w:sz w:val="24"/>
          <w:szCs w:val="24"/>
          <w:lang w:val="en-US"/>
        </w:rPr>
        <w:t>Poshak</w:t>
      </w:r>
      <w:proofErr w:type="spellEnd"/>
      <w:r>
        <w:rPr>
          <w:sz w:val="24"/>
          <w:szCs w:val="24"/>
          <w:lang w:val="en-US"/>
        </w:rPr>
        <w:t xml:space="preserve"> Sachdeva (BCIIA), Michelle McEachern, Chris O’Donohue, Rena Vanderwal, Michel Benoit (UFG)</w:t>
      </w:r>
      <w:r w:rsidR="00EB4F5E">
        <w:rPr>
          <w:sz w:val="24"/>
          <w:szCs w:val="24"/>
          <w:lang w:val="en-US"/>
        </w:rPr>
        <w:t>.</w:t>
      </w:r>
    </w:p>
    <w:p w14:paraId="57AD6F8D" w14:textId="77777777" w:rsidR="00EB4F5E" w:rsidRDefault="00EB4F5E" w:rsidP="00143698">
      <w:pPr>
        <w:rPr>
          <w:sz w:val="24"/>
          <w:szCs w:val="24"/>
          <w:lang w:val="en-US"/>
        </w:rPr>
      </w:pPr>
    </w:p>
    <w:p w14:paraId="25031C61" w14:textId="33817A86" w:rsidR="00876A8B" w:rsidRDefault="00876A8B" w:rsidP="0014369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Meetings</w:t>
      </w:r>
    </w:p>
    <w:p w14:paraId="66EC8293" w14:textId="029D86ED" w:rsidR="00876A8B" w:rsidRPr="00876A8B" w:rsidRDefault="00876A8B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Five meetings a year are expected, two in the spring and 3 in the summer months although this will be dictated by the weather and curtailment orders.  </w:t>
      </w:r>
    </w:p>
    <w:p w14:paraId="41F49968" w14:textId="77777777" w:rsidR="00876A8B" w:rsidRDefault="00876A8B" w:rsidP="00143698">
      <w:pPr>
        <w:rPr>
          <w:b/>
          <w:bCs/>
          <w:sz w:val="24"/>
          <w:szCs w:val="24"/>
          <w:lang w:val="en-US"/>
        </w:rPr>
      </w:pPr>
    </w:p>
    <w:p w14:paraId="69453F42" w14:textId="036482A5" w:rsidR="00143698" w:rsidRPr="00143698" w:rsidRDefault="00143698" w:rsidP="00143698">
      <w:pPr>
        <w:rPr>
          <w:b/>
          <w:bCs/>
          <w:sz w:val="24"/>
          <w:szCs w:val="24"/>
          <w:lang w:val="en-US"/>
        </w:rPr>
      </w:pPr>
      <w:r w:rsidRPr="00143698">
        <w:rPr>
          <w:b/>
          <w:bCs/>
          <w:sz w:val="24"/>
          <w:szCs w:val="24"/>
          <w:lang w:val="en-US"/>
        </w:rPr>
        <w:t>Quorum</w:t>
      </w:r>
    </w:p>
    <w:p w14:paraId="0EAD860F" w14:textId="27A4AC20" w:rsidR="00143698" w:rsidRPr="00143698" w:rsidRDefault="00143698" w:rsidP="00143698">
      <w:pPr>
        <w:rPr>
          <w:sz w:val="24"/>
          <w:szCs w:val="24"/>
          <w:lang w:val="en-US"/>
        </w:rPr>
      </w:pPr>
      <w:proofErr w:type="gramStart"/>
      <w:r w:rsidRPr="00143698">
        <w:rPr>
          <w:sz w:val="24"/>
          <w:szCs w:val="24"/>
          <w:lang w:val="en-US"/>
        </w:rPr>
        <w:t>In order to</w:t>
      </w:r>
      <w:proofErr w:type="gramEnd"/>
      <w:r w:rsidRPr="00143698">
        <w:rPr>
          <w:sz w:val="24"/>
          <w:szCs w:val="24"/>
          <w:lang w:val="en-US"/>
        </w:rPr>
        <w:t xml:space="preserve"> provide flexibility and responsiveness, a quorum in this case is a meeting of 5 members.</w:t>
      </w:r>
    </w:p>
    <w:p w14:paraId="123932DA" w14:textId="77777777" w:rsidR="00143698" w:rsidRDefault="00143698" w:rsidP="00143698">
      <w:pPr>
        <w:rPr>
          <w:sz w:val="28"/>
          <w:szCs w:val="28"/>
          <w:lang w:val="en-US"/>
        </w:rPr>
      </w:pPr>
    </w:p>
    <w:p w14:paraId="0D510132" w14:textId="4109E8F4" w:rsidR="00143698" w:rsidRPr="00143698" w:rsidRDefault="00143698" w:rsidP="00143698">
      <w:pPr>
        <w:rPr>
          <w:b/>
          <w:bCs/>
          <w:sz w:val="24"/>
          <w:szCs w:val="24"/>
          <w:lang w:val="en-US"/>
        </w:rPr>
      </w:pPr>
      <w:r w:rsidRPr="00143698">
        <w:rPr>
          <w:b/>
          <w:bCs/>
          <w:sz w:val="24"/>
          <w:szCs w:val="24"/>
          <w:lang w:val="en-US"/>
        </w:rPr>
        <w:t>Decision-Making</w:t>
      </w:r>
    </w:p>
    <w:p w14:paraId="434EFA6D" w14:textId="6E30B1DB" w:rsidR="00143698" w:rsidRDefault="00143698" w:rsidP="00143698">
      <w:pPr>
        <w:rPr>
          <w:sz w:val="24"/>
          <w:szCs w:val="24"/>
          <w:lang w:val="en-US"/>
        </w:rPr>
      </w:pPr>
      <w:r w:rsidRPr="00143698">
        <w:rPr>
          <w:sz w:val="24"/>
          <w:szCs w:val="24"/>
          <w:lang w:val="en-US"/>
        </w:rPr>
        <w:t xml:space="preserve">Decisions </w:t>
      </w:r>
      <w:r>
        <w:rPr>
          <w:sz w:val="24"/>
          <w:szCs w:val="24"/>
          <w:lang w:val="en-US"/>
        </w:rPr>
        <w:t>will be made by consensus.  If a consensus cannot be reached the options will be presented to the BCLNA Board of Directors.</w:t>
      </w:r>
    </w:p>
    <w:p w14:paraId="4989E0F4" w14:textId="77777777" w:rsidR="00143698" w:rsidRDefault="00143698" w:rsidP="00143698">
      <w:pPr>
        <w:rPr>
          <w:sz w:val="24"/>
          <w:szCs w:val="24"/>
          <w:lang w:val="en-US"/>
        </w:rPr>
      </w:pPr>
    </w:p>
    <w:p w14:paraId="7B6C6B76" w14:textId="68EED712" w:rsidR="00143698" w:rsidRDefault="00143698" w:rsidP="00143698">
      <w:pPr>
        <w:rPr>
          <w:b/>
          <w:bCs/>
          <w:sz w:val="24"/>
          <w:szCs w:val="24"/>
          <w:lang w:val="en-US"/>
        </w:rPr>
      </w:pPr>
      <w:r w:rsidRPr="00143698">
        <w:rPr>
          <w:b/>
          <w:bCs/>
          <w:sz w:val="24"/>
          <w:szCs w:val="24"/>
          <w:lang w:val="en-US"/>
        </w:rPr>
        <w:t>Reporting</w:t>
      </w:r>
    </w:p>
    <w:p w14:paraId="39B43141" w14:textId="77FF5422" w:rsidR="00EB4F5E" w:rsidRDefault="00EB4F5E" w:rsidP="00143698">
      <w:pPr>
        <w:rPr>
          <w:sz w:val="24"/>
          <w:szCs w:val="24"/>
          <w:lang w:val="en-US"/>
        </w:rPr>
      </w:pPr>
      <w:r w:rsidRPr="00EB4F5E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Chair of the Committee and/or </w:t>
      </w:r>
      <w:r w:rsidRPr="00EB4F5E">
        <w:rPr>
          <w:sz w:val="24"/>
          <w:szCs w:val="24"/>
          <w:lang w:val="en-US"/>
        </w:rPr>
        <w:t xml:space="preserve">COO will report to </w:t>
      </w:r>
      <w:r>
        <w:rPr>
          <w:sz w:val="24"/>
          <w:szCs w:val="24"/>
          <w:lang w:val="en-US"/>
        </w:rPr>
        <w:t xml:space="preserve">the BCLNA Board at their regular Board meetings. </w:t>
      </w:r>
    </w:p>
    <w:p w14:paraId="49D6C43D" w14:textId="77777777" w:rsidR="00EB4F5E" w:rsidRDefault="00EB4F5E" w:rsidP="00143698">
      <w:pPr>
        <w:rPr>
          <w:sz w:val="24"/>
          <w:szCs w:val="24"/>
          <w:lang w:val="en-US"/>
        </w:rPr>
      </w:pPr>
    </w:p>
    <w:p w14:paraId="7C53C1AD" w14:textId="79D19363" w:rsidR="00EB4F5E" w:rsidRDefault="00EB4F5E" w:rsidP="00143698">
      <w:pPr>
        <w:rPr>
          <w:b/>
          <w:bCs/>
          <w:sz w:val="24"/>
          <w:szCs w:val="24"/>
          <w:lang w:val="en-US"/>
        </w:rPr>
      </w:pPr>
      <w:r w:rsidRPr="00EB4F5E">
        <w:rPr>
          <w:b/>
          <w:bCs/>
          <w:sz w:val="24"/>
          <w:szCs w:val="24"/>
          <w:lang w:val="en-US"/>
        </w:rPr>
        <w:t>Review and Evaluation</w:t>
      </w:r>
    </w:p>
    <w:p w14:paraId="21131770" w14:textId="00C8152B" w:rsidR="00EB4F5E" w:rsidRDefault="00EB4F5E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BCLNA Board will review the committee’s performance at their January meeting.</w:t>
      </w:r>
    </w:p>
    <w:p w14:paraId="45CF3944" w14:textId="77777777" w:rsidR="00EB4F5E" w:rsidRDefault="00EB4F5E" w:rsidP="00143698">
      <w:pPr>
        <w:rPr>
          <w:sz w:val="24"/>
          <w:szCs w:val="24"/>
          <w:lang w:val="en-US"/>
        </w:rPr>
      </w:pPr>
    </w:p>
    <w:p w14:paraId="338CA4A2" w14:textId="43CF9171" w:rsidR="00EB4F5E" w:rsidRDefault="00EB4F5E" w:rsidP="00143698">
      <w:pPr>
        <w:rPr>
          <w:b/>
          <w:bCs/>
          <w:sz w:val="24"/>
          <w:szCs w:val="24"/>
          <w:lang w:val="en-US"/>
        </w:rPr>
      </w:pPr>
      <w:r w:rsidRPr="00EB4F5E">
        <w:rPr>
          <w:b/>
          <w:bCs/>
          <w:sz w:val="24"/>
          <w:szCs w:val="24"/>
          <w:lang w:val="en-US"/>
        </w:rPr>
        <w:t>Amendment Procedure</w:t>
      </w:r>
    </w:p>
    <w:p w14:paraId="09A8752C" w14:textId="2E28B2E8" w:rsidR="00EB4F5E" w:rsidRDefault="00EB4F5E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These Terms of Reference can be amended at the request of the committee or the BCLNA Board at a regular BCLNA Board meeting.</w:t>
      </w:r>
    </w:p>
    <w:p w14:paraId="11C76183" w14:textId="77777777" w:rsidR="0079575B" w:rsidRDefault="0079575B" w:rsidP="00143698">
      <w:pPr>
        <w:rPr>
          <w:sz w:val="24"/>
          <w:szCs w:val="24"/>
          <w:lang w:val="en-US"/>
        </w:rPr>
      </w:pPr>
    </w:p>
    <w:p w14:paraId="48BCDD0C" w14:textId="1E998E15" w:rsidR="0079575B" w:rsidRPr="00EB4F5E" w:rsidRDefault="0079575B" w:rsidP="001436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Dated</w:t>
      </w:r>
      <w:proofErr w:type="gramStart"/>
      <w:r>
        <w:rPr>
          <w:sz w:val="24"/>
          <w:szCs w:val="24"/>
          <w:lang w:val="en-US"/>
        </w:rPr>
        <w:t>:  March</w:t>
      </w:r>
      <w:proofErr w:type="gramEnd"/>
      <w:r>
        <w:rPr>
          <w:sz w:val="24"/>
          <w:szCs w:val="24"/>
          <w:lang w:val="en-US"/>
        </w:rPr>
        <w:t xml:space="preserve"> 6, 2024</w:t>
      </w:r>
    </w:p>
    <w:sectPr w:rsidR="0079575B" w:rsidRPr="00EB4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2FEA" w14:textId="77777777" w:rsidR="00B8319F" w:rsidRDefault="00B8319F" w:rsidP="00143698">
      <w:r>
        <w:separator/>
      </w:r>
    </w:p>
  </w:endnote>
  <w:endnote w:type="continuationSeparator" w:id="0">
    <w:p w14:paraId="7E2E7DA2" w14:textId="77777777" w:rsidR="00B8319F" w:rsidRDefault="00B8319F" w:rsidP="001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92C4" w14:textId="77777777" w:rsidR="00876A8B" w:rsidRDefault="00876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79A8" w14:textId="77777777" w:rsidR="00876A8B" w:rsidRDefault="00876A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E325" w14:textId="77777777" w:rsidR="00876A8B" w:rsidRDefault="00876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F125" w14:textId="77777777" w:rsidR="00B8319F" w:rsidRDefault="00B8319F" w:rsidP="00143698">
      <w:r>
        <w:separator/>
      </w:r>
    </w:p>
  </w:footnote>
  <w:footnote w:type="continuationSeparator" w:id="0">
    <w:p w14:paraId="6F7B4BD5" w14:textId="77777777" w:rsidR="00B8319F" w:rsidRDefault="00B8319F" w:rsidP="0014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4C53A" w14:textId="34C5370C" w:rsidR="00876A8B" w:rsidRDefault="00876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B364" w14:textId="0CDD8E65" w:rsidR="00143698" w:rsidRDefault="00143698">
    <w:pPr>
      <w:pStyle w:val="Header"/>
    </w:pPr>
    <w:r>
      <w:rPr>
        <w:noProof/>
      </w:rPr>
      <w:drawing>
        <wp:inline distT="0" distB="0" distL="0" distR="0" wp14:anchorId="6BEF0148" wp14:editId="7A99F34F">
          <wp:extent cx="1112520" cy="750304"/>
          <wp:effectExtent l="0" t="0" r="0" b="0"/>
          <wp:docPr id="529974629" name="Picture 1" descr="A black and white logo with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974629" name="Picture 1" descr="A black and white logo with a flow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04" cy="755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7DA56" w14:textId="77777777" w:rsidR="00143698" w:rsidRDefault="00143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8194" w14:textId="5F39502A" w:rsidR="00876A8B" w:rsidRDefault="00876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86DF5"/>
    <w:multiLevelType w:val="hybridMultilevel"/>
    <w:tmpl w:val="3768E30E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5562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98"/>
    <w:rsid w:val="00143698"/>
    <w:rsid w:val="005E2620"/>
    <w:rsid w:val="00637216"/>
    <w:rsid w:val="0079575B"/>
    <w:rsid w:val="00876A8B"/>
    <w:rsid w:val="00B20D33"/>
    <w:rsid w:val="00B8319F"/>
    <w:rsid w:val="00E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60FCD"/>
  <w15:chartTrackingRefBased/>
  <w15:docId w15:val="{5E798DB2-8070-49CF-992B-7F00AF22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6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6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6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6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698"/>
    <w:pPr>
      <w:numPr>
        <w:ilvl w:val="1"/>
      </w:numPr>
      <w:spacing w:after="160"/>
      <w:ind w:left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6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6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698"/>
  </w:style>
  <w:style w:type="paragraph" w:styleId="Footer">
    <w:name w:val="footer"/>
    <w:basedOn w:val="Normal"/>
    <w:link w:val="FooterChar"/>
    <w:uiPriority w:val="99"/>
    <w:unhideWhenUsed/>
    <w:rsid w:val="00143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7252B2DB7D42B278A62D598F57E0" ma:contentTypeVersion="12" ma:contentTypeDescription="Create a new document." ma:contentTypeScope="" ma:versionID="6de4355362482dc2a54e9602055448c1">
  <xsd:schema xmlns:xsd="http://www.w3.org/2001/XMLSchema" xmlns:xs="http://www.w3.org/2001/XMLSchema" xmlns:p="http://schemas.microsoft.com/office/2006/metadata/properties" xmlns:ns2="baf3ada7-bf43-4ad9-9a6e-15132b02babf" xmlns:ns3="ec3f7b38-fd0c-4281-88a9-f0d5780fd578" targetNamespace="http://schemas.microsoft.com/office/2006/metadata/properties" ma:root="true" ma:fieldsID="54e003ad689975206ec268571f67d84b" ns2:_="" ns3:_="">
    <xsd:import namespace="baf3ada7-bf43-4ad9-9a6e-15132b02babf"/>
    <xsd:import namespace="ec3f7b38-fd0c-4281-88a9-f0d5780fd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da7-bf43-4ad9-9a6e-15132b02b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c4a166c-fffb-41a6-bcf4-7b4a55dd0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7b38-fd0c-4281-88a9-f0d5780fd5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dae7ce-98a8-4990-8696-745a438e2efc}" ma:internalName="TaxCatchAll" ma:showField="CatchAllData" ma:web="ec3f7b38-fd0c-4281-88a9-f0d5780fd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f3ada7-bf43-4ad9-9a6e-15132b02babf">
      <Terms xmlns="http://schemas.microsoft.com/office/infopath/2007/PartnerControls"/>
    </lcf76f155ced4ddcb4097134ff3c332f>
    <TaxCatchAll xmlns="ec3f7b38-fd0c-4281-88a9-f0d5780fd5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B5612-F229-4001-96AC-D43DC093C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3ada7-bf43-4ad9-9a6e-15132b02babf"/>
    <ds:schemaRef ds:uri="ec3f7b38-fd0c-4281-88a9-f0d5780fd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7D009-C596-4CD9-B612-DF5F5E94344D}">
  <ds:schemaRefs>
    <ds:schemaRef ds:uri="http://schemas.microsoft.com/office/2006/metadata/properties"/>
    <ds:schemaRef ds:uri="http://schemas.microsoft.com/office/infopath/2007/PartnerControls"/>
    <ds:schemaRef ds:uri="baf3ada7-bf43-4ad9-9a6e-15132b02babf"/>
    <ds:schemaRef ds:uri="ec3f7b38-fd0c-4281-88a9-f0d5780fd578"/>
  </ds:schemaRefs>
</ds:datastoreItem>
</file>

<file path=customXml/itemProps3.xml><?xml version="1.0" encoding="utf-8"?>
<ds:datastoreItem xmlns:ds="http://schemas.openxmlformats.org/officeDocument/2006/customXml" ds:itemID="{A65C3A2B-556E-462C-9254-2F41DDFF7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Coreen Rodger Berrisford</dc:creator>
  <cp:keywords/>
  <dc:description/>
  <cp:lastModifiedBy>Coreen Rodger Berrisford</cp:lastModifiedBy>
  <cp:revision>2</cp:revision>
  <dcterms:created xsi:type="dcterms:W3CDTF">2025-06-23T15:33:00Z</dcterms:created>
  <dcterms:modified xsi:type="dcterms:W3CDTF">2025-06-23T15:33:00Z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0x01010007F47252B2DB7D42B278A62D598F57E0</vt:lpwstr>
  </property>
</Properties>
</file>