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3405" w14:textId="77777777" w:rsidR="00CB3892" w:rsidRPr="008757A3" w:rsidRDefault="00CB3892" w:rsidP="00E77A45">
      <w:pPr>
        <w:jc w:val="center"/>
        <w:rPr>
          <w:rFonts w:ascii="Arial" w:hAnsi="Arial" w:cs="Arial"/>
          <w:b/>
          <w:sz w:val="22"/>
          <w:szCs w:val="19"/>
          <w:lang w:val="en-GB"/>
        </w:rPr>
      </w:pPr>
      <w:r w:rsidRPr="008757A3">
        <w:rPr>
          <w:rFonts w:ascii="Arial" w:hAnsi="Arial" w:cs="Arial"/>
          <w:b/>
          <w:sz w:val="22"/>
          <w:szCs w:val="19"/>
          <w:lang w:val="en-GB"/>
        </w:rPr>
        <w:t>BCSLA EXPENSE POLICY</w:t>
      </w:r>
    </w:p>
    <w:p w14:paraId="64CB9688" w14:textId="77777777" w:rsidR="00FC4E4D" w:rsidRPr="00C00F27" w:rsidRDefault="00FC4E4D" w:rsidP="00E77A45">
      <w:pPr>
        <w:jc w:val="center"/>
        <w:rPr>
          <w:rFonts w:ascii="Arial" w:hAnsi="Arial" w:cs="Arial"/>
          <w:b/>
          <w:sz w:val="19"/>
          <w:szCs w:val="19"/>
          <w:lang w:val="en-GB"/>
        </w:rPr>
      </w:pPr>
    </w:p>
    <w:p w14:paraId="715ABCC4" w14:textId="77777777" w:rsidR="00CB3892" w:rsidRPr="008757A3" w:rsidRDefault="00CB3892" w:rsidP="00E77A45">
      <w:pPr>
        <w:rPr>
          <w:rFonts w:ascii="Arial" w:hAnsi="Arial" w:cs="Arial"/>
          <w:sz w:val="20"/>
          <w:lang w:val="en-GB"/>
        </w:rPr>
      </w:pPr>
      <w:r w:rsidRPr="008757A3">
        <w:rPr>
          <w:rFonts w:ascii="Arial" w:hAnsi="Arial" w:cs="Arial"/>
          <w:sz w:val="20"/>
          <w:lang w:val="en-GB"/>
        </w:rPr>
        <w:t xml:space="preserve">The BCSLA recognizes that the Members of the BCSLA Board, its Committees and Sub-Committees should be reimbursed for their expenses in the course of conducting BCSLA business. </w:t>
      </w:r>
    </w:p>
    <w:p w14:paraId="4108917B" w14:textId="77777777" w:rsidR="00CB3892" w:rsidRPr="008757A3" w:rsidRDefault="00CB3892" w:rsidP="00E77A45">
      <w:pPr>
        <w:rPr>
          <w:rFonts w:ascii="Arial" w:hAnsi="Arial" w:cs="Arial"/>
          <w:b/>
          <w:sz w:val="20"/>
          <w:u w:val="single"/>
          <w:lang w:val="en-GB"/>
        </w:rPr>
      </w:pPr>
    </w:p>
    <w:p w14:paraId="00C1F347" w14:textId="77777777" w:rsidR="00CB3892" w:rsidRPr="008757A3" w:rsidRDefault="00CB3892" w:rsidP="00E77A45">
      <w:pPr>
        <w:rPr>
          <w:rFonts w:ascii="Arial" w:hAnsi="Arial" w:cs="Arial"/>
          <w:b/>
          <w:sz w:val="20"/>
          <w:u w:val="single"/>
          <w:lang w:val="en-GB"/>
        </w:rPr>
      </w:pPr>
      <w:r w:rsidRPr="008757A3">
        <w:rPr>
          <w:rFonts w:ascii="Arial" w:hAnsi="Arial" w:cs="Arial"/>
          <w:b/>
          <w:sz w:val="20"/>
          <w:u w:val="single"/>
          <w:lang w:val="en-GB"/>
        </w:rPr>
        <w:t>General Expenses</w:t>
      </w:r>
      <w:r w:rsidR="00601C83">
        <w:rPr>
          <w:rFonts w:ascii="Arial" w:hAnsi="Arial" w:cs="Arial"/>
          <w:b/>
          <w:sz w:val="20"/>
          <w:u w:val="single"/>
          <w:lang w:val="en-GB"/>
        </w:rPr>
        <w:t>:</w:t>
      </w:r>
      <w:r w:rsidRPr="008757A3">
        <w:rPr>
          <w:rFonts w:ascii="Arial" w:hAnsi="Arial" w:cs="Arial"/>
          <w:b/>
          <w:sz w:val="20"/>
          <w:u w:val="single"/>
          <w:lang w:val="en-GB"/>
        </w:rPr>
        <w:br/>
      </w:r>
    </w:p>
    <w:p w14:paraId="2B9EAB3C" w14:textId="77777777" w:rsidR="00CB3892" w:rsidRPr="008757A3" w:rsidRDefault="00CB3892" w:rsidP="00E77A45">
      <w:pPr>
        <w:pStyle w:val="ListParagraph"/>
        <w:numPr>
          <w:ilvl w:val="0"/>
          <w:numId w:val="7"/>
        </w:numPr>
        <w:ind w:left="360"/>
        <w:rPr>
          <w:rFonts w:ascii="Arial" w:hAnsi="Arial" w:cs="Arial"/>
          <w:sz w:val="20"/>
          <w:lang w:val="en-GB"/>
        </w:rPr>
      </w:pPr>
      <w:r w:rsidRPr="008757A3">
        <w:rPr>
          <w:rFonts w:ascii="Arial" w:hAnsi="Arial" w:cs="Arial"/>
          <w:sz w:val="20"/>
          <w:lang w:val="en-GB"/>
        </w:rPr>
        <w:t xml:space="preserve">All expected costs and expenses must be budgeted for in the annual budget. This includes food, venue and related costs for committee meetings. </w:t>
      </w:r>
    </w:p>
    <w:p w14:paraId="011BD85F" w14:textId="77777777" w:rsidR="00CB3892" w:rsidRPr="008757A3" w:rsidRDefault="00CB3892" w:rsidP="00E77A45">
      <w:pPr>
        <w:pStyle w:val="ListParagraph"/>
        <w:numPr>
          <w:ilvl w:val="0"/>
          <w:numId w:val="7"/>
        </w:numPr>
        <w:ind w:left="360"/>
        <w:rPr>
          <w:rFonts w:ascii="Arial" w:hAnsi="Arial" w:cs="Arial"/>
          <w:sz w:val="20"/>
          <w:lang w:val="en-GB"/>
        </w:rPr>
      </w:pPr>
      <w:r w:rsidRPr="008757A3">
        <w:rPr>
          <w:rFonts w:ascii="Arial" w:hAnsi="Arial" w:cs="Arial"/>
          <w:sz w:val="20"/>
          <w:lang w:val="en-GB"/>
        </w:rPr>
        <w:t xml:space="preserve">The BCSLA Board and/or Treasurer must review and approve event or meeting costs prior to the event. Expected costs are to be presented in budget form.  Only claims submitted on an official expense claim form will be considered for reimbursement. </w:t>
      </w:r>
    </w:p>
    <w:p w14:paraId="24485CA3" w14:textId="77777777" w:rsidR="008205C3" w:rsidRDefault="00CB3892" w:rsidP="00E77A45">
      <w:pPr>
        <w:pStyle w:val="ListParagraph"/>
        <w:widowControl w:val="0"/>
        <w:numPr>
          <w:ilvl w:val="0"/>
          <w:numId w:val="7"/>
        </w:numPr>
        <w:autoSpaceDE w:val="0"/>
        <w:autoSpaceDN w:val="0"/>
        <w:adjustRightInd w:val="0"/>
        <w:ind w:left="360"/>
        <w:rPr>
          <w:rFonts w:ascii="Arial" w:hAnsi="Arial" w:cs="Arial"/>
          <w:sz w:val="20"/>
          <w:lang w:val="en-GB"/>
        </w:rPr>
      </w:pPr>
      <w:r w:rsidRPr="008757A3">
        <w:rPr>
          <w:rFonts w:ascii="Arial" w:hAnsi="Arial" w:cs="Arial"/>
          <w:sz w:val="20"/>
          <w:lang w:val="en-GB"/>
        </w:rPr>
        <w:t>All claims must include a receipt or similar to be considered. Expense claim forms must be submitted quarterly (by March 31, June 30, S</w:t>
      </w:r>
      <w:r w:rsidR="008205C3">
        <w:rPr>
          <w:rFonts w:ascii="Arial" w:hAnsi="Arial" w:cs="Arial"/>
          <w:sz w:val="20"/>
          <w:lang w:val="en-GB"/>
        </w:rPr>
        <w:t xml:space="preserve">eptember 30, and December 31). </w:t>
      </w:r>
    </w:p>
    <w:p w14:paraId="0716AA2E" w14:textId="77777777" w:rsidR="00CB3892" w:rsidRPr="008757A3" w:rsidRDefault="008205C3" w:rsidP="00E77A45">
      <w:pPr>
        <w:pStyle w:val="ListParagraph"/>
        <w:widowControl w:val="0"/>
        <w:numPr>
          <w:ilvl w:val="0"/>
          <w:numId w:val="7"/>
        </w:numPr>
        <w:autoSpaceDE w:val="0"/>
        <w:autoSpaceDN w:val="0"/>
        <w:adjustRightInd w:val="0"/>
        <w:ind w:left="360"/>
        <w:rPr>
          <w:rFonts w:ascii="Arial" w:hAnsi="Arial" w:cs="Arial"/>
          <w:sz w:val="20"/>
          <w:lang w:val="en-GB"/>
        </w:rPr>
      </w:pPr>
      <w:r>
        <w:rPr>
          <w:rFonts w:ascii="Arial" w:hAnsi="Arial" w:cs="Arial"/>
          <w:sz w:val="20"/>
          <w:lang w:val="en-GB"/>
        </w:rPr>
        <w:t>Y</w:t>
      </w:r>
      <w:r>
        <w:rPr>
          <w:rFonts w:ascii="Arial" w:hAnsi="Arial" w:cs="Arial"/>
          <w:sz w:val="20"/>
        </w:rPr>
        <w:t>ear-end claims must be submitted no later than 60 days after the expense is incurred.</w:t>
      </w:r>
    </w:p>
    <w:p w14:paraId="0B8B5C97" w14:textId="77777777" w:rsidR="00CB3892" w:rsidRPr="008757A3" w:rsidRDefault="00CB3892" w:rsidP="00E77A45">
      <w:pPr>
        <w:pStyle w:val="ListParagraph"/>
        <w:widowControl w:val="0"/>
        <w:numPr>
          <w:ilvl w:val="0"/>
          <w:numId w:val="7"/>
        </w:numPr>
        <w:tabs>
          <w:tab w:val="num" w:pos="-90"/>
        </w:tabs>
        <w:autoSpaceDE w:val="0"/>
        <w:autoSpaceDN w:val="0"/>
        <w:adjustRightInd w:val="0"/>
        <w:ind w:left="360"/>
        <w:rPr>
          <w:rFonts w:ascii="Arial" w:hAnsi="Arial" w:cs="Arial"/>
          <w:sz w:val="20"/>
          <w:lang w:val="en-GB"/>
        </w:rPr>
      </w:pPr>
      <w:r w:rsidRPr="008757A3">
        <w:rPr>
          <w:rFonts w:ascii="Arial" w:hAnsi="Arial" w:cs="Arial"/>
          <w:sz w:val="20"/>
          <w:lang w:val="en-GB"/>
        </w:rPr>
        <w:t>Board Members leaving office in March must submit their final claims form by March 31 of that year.</w:t>
      </w:r>
    </w:p>
    <w:p w14:paraId="7C6BB0F8" w14:textId="77777777" w:rsidR="00CB3892" w:rsidRPr="008757A3" w:rsidRDefault="00CB3892" w:rsidP="00E77A45">
      <w:pPr>
        <w:pStyle w:val="ListParagraph"/>
        <w:widowControl w:val="0"/>
        <w:numPr>
          <w:ilvl w:val="0"/>
          <w:numId w:val="7"/>
        </w:numPr>
        <w:autoSpaceDE w:val="0"/>
        <w:autoSpaceDN w:val="0"/>
        <w:adjustRightInd w:val="0"/>
        <w:ind w:left="360"/>
        <w:rPr>
          <w:rFonts w:ascii="Arial" w:hAnsi="Arial" w:cs="Arial"/>
          <w:sz w:val="20"/>
          <w:lang w:val="en-GB"/>
        </w:rPr>
      </w:pPr>
      <w:r w:rsidRPr="008757A3">
        <w:rPr>
          <w:rFonts w:ascii="Arial" w:hAnsi="Arial" w:cs="Arial"/>
          <w:sz w:val="20"/>
          <w:lang w:val="en-GB"/>
        </w:rPr>
        <w:t>The Board reserves the right to review and approve all expense forms submitted by Board Members</w:t>
      </w:r>
    </w:p>
    <w:p w14:paraId="4A710910" w14:textId="77777777" w:rsidR="00CB3892" w:rsidRPr="008757A3" w:rsidRDefault="00CB3892" w:rsidP="00E77A45">
      <w:pPr>
        <w:pStyle w:val="ListParagraph"/>
        <w:widowControl w:val="0"/>
        <w:numPr>
          <w:ilvl w:val="0"/>
          <w:numId w:val="7"/>
        </w:numPr>
        <w:autoSpaceDE w:val="0"/>
        <w:autoSpaceDN w:val="0"/>
        <w:adjustRightInd w:val="0"/>
        <w:ind w:left="360"/>
        <w:rPr>
          <w:rFonts w:ascii="Arial" w:hAnsi="Arial" w:cs="Arial"/>
          <w:sz w:val="20"/>
          <w:lang w:val="en-GB"/>
        </w:rPr>
      </w:pPr>
      <w:r w:rsidRPr="008757A3">
        <w:rPr>
          <w:rFonts w:ascii="Arial" w:hAnsi="Arial" w:cs="Arial"/>
          <w:sz w:val="20"/>
          <w:lang w:val="en-GB"/>
        </w:rPr>
        <w:t>Expenses over $100 shall only be paid if approved by two of the following; President, Treasurer or Registrar.</w:t>
      </w:r>
    </w:p>
    <w:p w14:paraId="6D758519" w14:textId="77777777" w:rsidR="00CB3892" w:rsidRPr="008757A3" w:rsidRDefault="00CB3892" w:rsidP="00E77A45">
      <w:pPr>
        <w:pStyle w:val="ListParagraph"/>
        <w:widowControl w:val="0"/>
        <w:numPr>
          <w:ilvl w:val="0"/>
          <w:numId w:val="7"/>
        </w:numPr>
        <w:autoSpaceDE w:val="0"/>
        <w:autoSpaceDN w:val="0"/>
        <w:adjustRightInd w:val="0"/>
        <w:ind w:left="360"/>
        <w:rPr>
          <w:rFonts w:ascii="Arial" w:hAnsi="Arial" w:cs="Arial"/>
          <w:sz w:val="20"/>
          <w:lang w:val="en-GB"/>
        </w:rPr>
      </w:pPr>
      <w:r w:rsidRPr="008757A3">
        <w:rPr>
          <w:rFonts w:ascii="Arial" w:hAnsi="Arial" w:cs="Arial"/>
          <w:sz w:val="20"/>
          <w:lang w:val="en-GB"/>
        </w:rPr>
        <w:t>The BCSLA Board must approve any expense for a single item over $500,</w:t>
      </w:r>
      <w:r w:rsidR="00C00F27" w:rsidRPr="008757A3">
        <w:rPr>
          <w:rFonts w:ascii="Arial" w:hAnsi="Arial" w:cs="Arial"/>
          <w:sz w:val="20"/>
          <w:lang w:val="en-GB"/>
        </w:rPr>
        <w:t xml:space="preserve"> prior to the expenditure. The </w:t>
      </w:r>
      <w:r w:rsidRPr="008757A3">
        <w:rPr>
          <w:rFonts w:ascii="Arial" w:hAnsi="Arial" w:cs="Arial"/>
          <w:sz w:val="20"/>
          <w:lang w:val="en-GB"/>
        </w:rPr>
        <w:t>Board reserves the right not to reimburse claims greater than $</w:t>
      </w:r>
      <w:r w:rsidR="00C00F27" w:rsidRPr="008757A3">
        <w:rPr>
          <w:rFonts w:ascii="Arial" w:hAnsi="Arial" w:cs="Arial"/>
          <w:sz w:val="20"/>
          <w:lang w:val="en-GB"/>
        </w:rPr>
        <w:t xml:space="preserve">500 that did not receive prior </w:t>
      </w:r>
      <w:r w:rsidRPr="008757A3">
        <w:rPr>
          <w:rFonts w:ascii="Arial" w:hAnsi="Arial" w:cs="Arial"/>
          <w:sz w:val="20"/>
          <w:lang w:val="en-GB"/>
        </w:rPr>
        <w:t>approval.</w:t>
      </w:r>
    </w:p>
    <w:p w14:paraId="50800B90" w14:textId="77777777" w:rsidR="00CB3892" w:rsidRPr="008757A3" w:rsidRDefault="00CB3892" w:rsidP="00E77A45">
      <w:pPr>
        <w:tabs>
          <w:tab w:val="num" w:pos="-90"/>
        </w:tabs>
        <w:rPr>
          <w:rFonts w:ascii="Arial" w:hAnsi="Arial" w:cs="Arial"/>
          <w:sz w:val="20"/>
          <w:lang w:val="en-GB"/>
        </w:rPr>
      </w:pPr>
    </w:p>
    <w:p w14:paraId="5B487A56" w14:textId="77777777" w:rsidR="00DB01A5" w:rsidRDefault="00CB3892" w:rsidP="00E77A45">
      <w:pPr>
        <w:tabs>
          <w:tab w:val="num" w:pos="-90"/>
        </w:tabs>
        <w:rPr>
          <w:rFonts w:ascii="Arial" w:hAnsi="Arial" w:cs="Arial"/>
          <w:b/>
          <w:sz w:val="20"/>
          <w:u w:val="single"/>
          <w:lang w:val="en-GB"/>
        </w:rPr>
      </w:pPr>
      <w:r w:rsidRPr="008757A3">
        <w:rPr>
          <w:rFonts w:ascii="Arial" w:hAnsi="Arial" w:cs="Arial"/>
          <w:b/>
          <w:sz w:val="20"/>
          <w:u w:val="single"/>
          <w:lang w:val="en-GB"/>
        </w:rPr>
        <w:t>Travel Expenses:</w:t>
      </w:r>
    </w:p>
    <w:p w14:paraId="068A2C15" w14:textId="77777777" w:rsidR="00DB01A5" w:rsidRDefault="00DB01A5" w:rsidP="00E77A45">
      <w:pPr>
        <w:tabs>
          <w:tab w:val="num" w:pos="-90"/>
        </w:tabs>
        <w:rPr>
          <w:rFonts w:ascii="Arial" w:hAnsi="Arial" w:cs="Arial"/>
          <w:b/>
          <w:sz w:val="20"/>
          <w:u w:val="single"/>
          <w:lang w:val="en-GB"/>
        </w:rPr>
      </w:pPr>
    </w:p>
    <w:p w14:paraId="7DC9D840" w14:textId="77777777" w:rsidR="00CB3892" w:rsidRPr="00DB01A5" w:rsidRDefault="00DB01A5" w:rsidP="005755F6">
      <w:pPr>
        <w:tabs>
          <w:tab w:val="num" w:pos="-90"/>
        </w:tabs>
        <w:ind w:left="360" w:hanging="360"/>
        <w:rPr>
          <w:rFonts w:ascii="Arial" w:hAnsi="Arial" w:cs="Arial"/>
          <w:sz w:val="20"/>
          <w:lang w:val="en-GB"/>
        </w:rPr>
      </w:pPr>
      <w:r w:rsidRPr="00DB01A5">
        <w:rPr>
          <w:rFonts w:ascii="Arial" w:hAnsi="Arial" w:cs="Arial"/>
          <w:sz w:val="20"/>
          <w:lang w:val="en-GB"/>
        </w:rPr>
        <w:t>1.</w:t>
      </w:r>
      <w:r w:rsidR="005755F6">
        <w:rPr>
          <w:rFonts w:ascii="Arial" w:hAnsi="Arial" w:cs="Arial"/>
          <w:sz w:val="20"/>
          <w:lang w:val="en-GB"/>
        </w:rPr>
        <w:t xml:space="preserve">   Allied Conferences:  The BCSLA will cover the registration fee and travel expenses for volunteers and staff who attend conferences as a BCSLA representative.  All costs related to the event (</w:t>
      </w:r>
      <w:proofErr w:type="spellStart"/>
      <w:r w:rsidR="005755F6">
        <w:rPr>
          <w:rFonts w:ascii="Arial" w:hAnsi="Arial" w:cs="Arial"/>
          <w:sz w:val="20"/>
          <w:lang w:val="en-GB"/>
        </w:rPr>
        <w:t>eg.</w:t>
      </w:r>
      <w:proofErr w:type="spellEnd"/>
      <w:r w:rsidR="005755F6">
        <w:rPr>
          <w:rFonts w:ascii="Arial" w:hAnsi="Arial" w:cs="Arial"/>
          <w:sz w:val="20"/>
          <w:lang w:val="en-GB"/>
        </w:rPr>
        <w:t xml:space="preserve"> tours when no other programming is available, national awards ceremony, etc.) will also be covered by BCSLA.</w:t>
      </w:r>
    </w:p>
    <w:p w14:paraId="4379F90D" w14:textId="77777777" w:rsidR="00CB3892" w:rsidRPr="00DB01A5" w:rsidRDefault="00DB01A5" w:rsidP="00DB01A5">
      <w:pPr>
        <w:ind w:left="360" w:hanging="360"/>
        <w:rPr>
          <w:rFonts w:ascii="Arial" w:hAnsi="Arial" w:cs="Arial"/>
          <w:sz w:val="20"/>
          <w:lang w:val="en-GB"/>
        </w:rPr>
      </w:pPr>
      <w:r>
        <w:rPr>
          <w:rFonts w:ascii="Arial" w:hAnsi="Arial" w:cs="Arial"/>
          <w:sz w:val="20"/>
          <w:lang w:val="en-GB"/>
        </w:rPr>
        <w:t xml:space="preserve">2.   </w:t>
      </w:r>
      <w:r w:rsidR="00CB3892" w:rsidRPr="00DB01A5">
        <w:rPr>
          <w:rFonts w:ascii="Arial" w:hAnsi="Arial" w:cs="Arial"/>
          <w:sz w:val="20"/>
          <w:lang w:val="en-GB"/>
        </w:rPr>
        <w:t xml:space="preserve">Airline travel: BCSLA will reimburse the full cost of airline travel </w:t>
      </w:r>
      <w:r w:rsidR="00C00F27" w:rsidRPr="00DB01A5">
        <w:rPr>
          <w:rFonts w:ascii="Arial" w:hAnsi="Arial" w:cs="Arial"/>
          <w:sz w:val="20"/>
          <w:lang w:val="en-GB"/>
        </w:rPr>
        <w:t xml:space="preserve">(economy class), including all </w:t>
      </w:r>
      <w:r w:rsidR="00CB3892" w:rsidRPr="00DB01A5">
        <w:rPr>
          <w:rFonts w:ascii="Arial" w:hAnsi="Arial" w:cs="Arial"/>
          <w:sz w:val="20"/>
          <w:lang w:val="en-GB"/>
        </w:rPr>
        <w:t>surcharges applicable. Bookings should be made far enough in advance to obtain discounted rates, and efforts should be made to balance costs with convenience.</w:t>
      </w:r>
    </w:p>
    <w:p w14:paraId="39542D7B" w14:textId="77777777" w:rsidR="00CB3892" w:rsidRPr="00DB01A5" w:rsidRDefault="00DB01A5" w:rsidP="00DB01A5">
      <w:pPr>
        <w:ind w:left="360" w:hanging="360"/>
        <w:rPr>
          <w:rFonts w:ascii="Arial" w:hAnsi="Arial" w:cs="Arial"/>
          <w:sz w:val="20"/>
          <w:lang w:val="en-GB"/>
        </w:rPr>
      </w:pPr>
      <w:r>
        <w:rPr>
          <w:rFonts w:ascii="Arial" w:hAnsi="Arial" w:cs="Arial"/>
          <w:sz w:val="20"/>
          <w:lang w:val="en-GB"/>
        </w:rPr>
        <w:t xml:space="preserve">3.   </w:t>
      </w:r>
      <w:r w:rsidR="00CB3892" w:rsidRPr="00DB01A5">
        <w:rPr>
          <w:rFonts w:ascii="Arial" w:hAnsi="Arial" w:cs="Arial"/>
          <w:sz w:val="20"/>
          <w:lang w:val="en-GB"/>
        </w:rPr>
        <w:t>Hotel accommodation: BCSLA will reimburse all costs associated with hotel accommodation, within reasonable limits.</w:t>
      </w:r>
    </w:p>
    <w:p w14:paraId="6D61A5A4" w14:textId="77777777" w:rsidR="00CB3892" w:rsidRPr="00DB01A5" w:rsidRDefault="00CB3892" w:rsidP="00DB01A5">
      <w:pPr>
        <w:pStyle w:val="ListParagraph"/>
        <w:numPr>
          <w:ilvl w:val="0"/>
          <w:numId w:val="9"/>
        </w:numPr>
        <w:ind w:left="360"/>
        <w:rPr>
          <w:rFonts w:ascii="Arial" w:hAnsi="Arial" w:cs="Arial"/>
          <w:sz w:val="20"/>
          <w:lang w:val="en-GB"/>
        </w:rPr>
      </w:pPr>
      <w:r w:rsidRPr="00DB01A5">
        <w:rPr>
          <w:rFonts w:ascii="Arial" w:hAnsi="Arial" w:cs="Arial"/>
          <w:sz w:val="20"/>
          <w:lang w:val="en-GB"/>
        </w:rPr>
        <w:t>Rail travel: BCSLA will reimburse the full cost of rail travel, provided the costs are comparable to</w:t>
      </w:r>
      <w:r w:rsidR="00C00F27" w:rsidRPr="00DB01A5">
        <w:rPr>
          <w:rFonts w:ascii="Arial" w:hAnsi="Arial" w:cs="Arial"/>
          <w:sz w:val="20"/>
          <w:lang w:val="en-GB"/>
        </w:rPr>
        <w:t xml:space="preserve"> </w:t>
      </w:r>
      <w:r w:rsidRPr="00DB01A5">
        <w:rPr>
          <w:rFonts w:ascii="Arial" w:hAnsi="Arial" w:cs="Arial"/>
          <w:sz w:val="20"/>
          <w:lang w:val="en-GB"/>
        </w:rPr>
        <w:t>airline or other competing forms of transport.</w:t>
      </w:r>
    </w:p>
    <w:p w14:paraId="561C7C3D" w14:textId="77777777" w:rsidR="00CB3892" w:rsidRPr="00DB01A5" w:rsidRDefault="00CB3892" w:rsidP="00DB01A5">
      <w:pPr>
        <w:pStyle w:val="ListParagraph"/>
        <w:numPr>
          <w:ilvl w:val="0"/>
          <w:numId w:val="9"/>
        </w:numPr>
        <w:ind w:left="360"/>
        <w:rPr>
          <w:rFonts w:ascii="Arial" w:hAnsi="Arial" w:cs="Arial"/>
          <w:sz w:val="20"/>
          <w:lang w:val="en-GB"/>
        </w:rPr>
      </w:pPr>
      <w:r w:rsidRPr="00DB01A5">
        <w:rPr>
          <w:rFonts w:ascii="Arial" w:hAnsi="Arial" w:cs="Arial"/>
          <w:sz w:val="20"/>
          <w:lang w:val="en-GB"/>
        </w:rPr>
        <w:t>Rental car: BCSLA will reimburse the full costs of car rental whe</w:t>
      </w:r>
      <w:r w:rsidR="00C00F27" w:rsidRPr="00DB01A5">
        <w:rPr>
          <w:rFonts w:ascii="Arial" w:hAnsi="Arial" w:cs="Arial"/>
          <w:sz w:val="20"/>
          <w:lang w:val="en-GB"/>
        </w:rPr>
        <w:t xml:space="preserve">n required, including optional </w:t>
      </w:r>
      <w:r w:rsidRPr="00DB01A5">
        <w:rPr>
          <w:rFonts w:ascii="Arial" w:hAnsi="Arial" w:cs="Arial"/>
          <w:sz w:val="20"/>
          <w:lang w:val="en-GB"/>
        </w:rPr>
        <w:t>insurance, and fuel costs. Mileage costs will not be paid on rental cars.</w:t>
      </w:r>
    </w:p>
    <w:p w14:paraId="1DD70D26" w14:textId="77777777" w:rsidR="00CB3892" w:rsidRPr="008757A3" w:rsidRDefault="00CB3892" w:rsidP="00DB01A5">
      <w:pPr>
        <w:pStyle w:val="ListParagraph"/>
        <w:numPr>
          <w:ilvl w:val="0"/>
          <w:numId w:val="9"/>
        </w:numPr>
        <w:ind w:left="360"/>
        <w:rPr>
          <w:rFonts w:ascii="Arial" w:hAnsi="Arial" w:cs="Arial"/>
          <w:sz w:val="20"/>
          <w:lang w:val="en-GB"/>
        </w:rPr>
      </w:pPr>
      <w:r w:rsidRPr="008757A3">
        <w:rPr>
          <w:rFonts w:ascii="Arial" w:hAnsi="Arial" w:cs="Arial"/>
          <w:sz w:val="20"/>
          <w:lang w:val="en-GB"/>
        </w:rPr>
        <w:t>Personal car: BCSLA reimburse members when they use their personal car for BCSLA business on a mileage basis. Mileage payment rates match those determine</w:t>
      </w:r>
      <w:r w:rsidR="00D7389B" w:rsidRPr="008757A3">
        <w:rPr>
          <w:rFonts w:ascii="Arial" w:hAnsi="Arial" w:cs="Arial"/>
          <w:sz w:val="20"/>
          <w:lang w:val="en-GB"/>
        </w:rPr>
        <w:t xml:space="preserve">d by the Canada Revenue Agency </w:t>
      </w:r>
      <w:r w:rsidRPr="008757A3">
        <w:rPr>
          <w:rFonts w:ascii="Arial" w:hAnsi="Arial" w:cs="Arial"/>
          <w:sz w:val="20"/>
          <w:lang w:val="en-GB"/>
        </w:rPr>
        <w:t xml:space="preserve">and are available online at </w:t>
      </w:r>
      <w:hyperlink r:id="rId11" w:history="1">
        <w:r w:rsidRPr="008757A3">
          <w:rPr>
            <w:rFonts w:ascii="Arial" w:hAnsi="Arial" w:cs="Arial"/>
            <w:sz w:val="20"/>
          </w:rPr>
          <w:t>www.cra.gc.ca</w:t>
        </w:r>
      </w:hyperlink>
      <w:r w:rsidR="00C00F27" w:rsidRPr="008757A3">
        <w:rPr>
          <w:rFonts w:ascii="Arial" w:hAnsi="Arial" w:cs="Arial"/>
          <w:sz w:val="20"/>
          <w:lang w:val="en-GB"/>
        </w:rPr>
        <w:t xml:space="preserve"> under “Automobile Allowance </w:t>
      </w:r>
      <w:r w:rsidRPr="008757A3">
        <w:rPr>
          <w:rFonts w:ascii="Arial" w:hAnsi="Arial" w:cs="Arial"/>
          <w:sz w:val="20"/>
          <w:lang w:val="en-GB"/>
        </w:rPr>
        <w:t>Rates”.</w:t>
      </w:r>
    </w:p>
    <w:p w14:paraId="5E202E3D" w14:textId="77777777" w:rsidR="00CB3892" w:rsidRPr="008757A3" w:rsidRDefault="00CB3892" w:rsidP="00DB01A5">
      <w:pPr>
        <w:pStyle w:val="ListParagraph"/>
        <w:numPr>
          <w:ilvl w:val="0"/>
          <w:numId w:val="9"/>
        </w:numPr>
        <w:ind w:left="360"/>
        <w:rPr>
          <w:rFonts w:ascii="Arial" w:hAnsi="Arial" w:cs="Arial"/>
          <w:sz w:val="20"/>
          <w:lang w:val="en-GB"/>
        </w:rPr>
      </w:pPr>
      <w:r w:rsidRPr="008757A3">
        <w:rPr>
          <w:rFonts w:ascii="Arial" w:hAnsi="Arial" w:cs="Arial"/>
          <w:sz w:val="20"/>
          <w:lang w:val="en-GB"/>
        </w:rPr>
        <w:t>Meals: BCSLA will reimburse the costs of meals for members when</w:t>
      </w:r>
      <w:r w:rsidR="00C00F27" w:rsidRPr="008757A3">
        <w:rPr>
          <w:rFonts w:ascii="Arial" w:hAnsi="Arial" w:cs="Arial"/>
          <w:sz w:val="20"/>
          <w:lang w:val="en-GB"/>
        </w:rPr>
        <w:t xml:space="preserve"> travelling on BCSLA business, </w:t>
      </w:r>
      <w:r w:rsidRPr="008757A3">
        <w:rPr>
          <w:rFonts w:ascii="Arial" w:hAnsi="Arial" w:cs="Arial"/>
          <w:sz w:val="20"/>
          <w:lang w:val="en-GB"/>
        </w:rPr>
        <w:t>within reasonable limits.</w:t>
      </w:r>
    </w:p>
    <w:p w14:paraId="139AC649" w14:textId="77777777" w:rsidR="00CB3892" w:rsidRPr="008757A3" w:rsidRDefault="00CB3892" w:rsidP="00DB01A5">
      <w:pPr>
        <w:pStyle w:val="ListParagraph"/>
        <w:numPr>
          <w:ilvl w:val="0"/>
          <w:numId w:val="9"/>
        </w:numPr>
        <w:ind w:left="360"/>
        <w:rPr>
          <w:rFonts w:ascii="Arial" w:hAnsi="Arial" w:cs="Arial"/>
          <w:sz w:val="20"/>
          <w:lang w:val="en-GB"/>
        </w:rPr>
      </w:pPr>
      <w:r w:rsidRPr="008757A3">
        <w:rPr>
          <w:rFonts w:ascii="Arial" w:hAnsi="Arial" w:cs="Arial"/>
          <w:sz w:val="20"/>
          <w:lang w:val="en-GB"/>
        </w:rPr>
        <w:t>Miscellaneous costs: BCSLA will consider all other miscellaneous t</w:t>
      </w:r>
      <w:r w:rsidR="00C00F27" w:rsidRPr="008757A3">
        <w:rPr>
          <w:rFonts w:ascii="Arial" w:hAnsi="Arial" w:cs="Arial"/>
          <w:sz w:val="20"/>
          <w:lang w:val="en-GB"/>
        </w:rPr>
        <w:t xml:space="preserve">ravel expenses as submitted on </w:t>
      </w:r>
      <w:r w:rsidRPr="008757A3">
        <w:rPr>
          <w:rFonts w:ascii="Arial" w:hAnsi="Arial" w:cs="Arial"/>
          <w:sz w:val="20"/>
          <w:lang w:val="en-GB"/>
        </w:rPr>
        <w:t xml:space="preserve">expense claim forms, including parking costs, taxi fares and airport </w:t>
      </w:r>
      <w:r w:rsidR="00C00F27" w:rsidRPr="008757A3">
        <w:rPr>
          <w:rFonts w:ascii="Arial" w:hAnsi="Arial" w:cs="Arial"/>
          <w:sz w:val="20"/>
          <w:lang w:val="en-GB"/>
        </w:rPr>
        <w:t xml:space="preserve">transfers, long distance phone </w:t>
      </w:r>
      <w:r w:rsidRPr="008757A3">
        <w:rPr>
          <w:rFonts w:ascii="Arial" w:hAnsi="Arial" w:cs="Arial"/>
          <w:sz w:val="20"/>
          <w:lang w:val="en-GB"/>
        </w:rPr>
        <w:t>costs, tips, and etc.</w:t>
      </w:r>
    </w:p>
    <w:p w14:paraId="33B5961E" w14:textId="77777777" w:rsidR="00CB3892" w:rsidRPr="008757A3" w:rsidRDefault="00CB3892" w:rsidP="00DB01A5">
      <w:pPr>
        <w:pStyle w:val="ListParagraph"/>
        <w:numPr>
          <w:ilvl w:val="0"/>
          <w:numId w:val="9"/>
        </w:numPr>
        <w:ind w:left="360"/>
        <w:rPr>
          <w:rFonts w:ascii="Arial" w:hAnsi="Arial" w:cs="Arial"/>
          <w:sz w:val="20"/>
          <w:lang w:val="en-GB"/>
        </w:rPr>
      </w:pPr>
      <w:r w:rsidRPr="008757A3">
        <w:rPr>
          <w:rFonts w:ascii="Arial" w:hAnsi="Arial" w:cs="Arial"/>
          <w:sz w:val="20"/>
          <w:lang w:val="en-GB"/>
        </w:rPr>
        <w:t>Personal travel: Members may combine personal travel to a busine</w:t>
      </w:r>
      <w:r w:rsidR="00C00F27" w:rsidRPr="008757A3">
        <w:rPr>
          <w:rFonts w:ascii="Arial" w:hAnsi="Arial" w:cs="Arial"/>
          <w:sz w:val="20"/>
          <w:lang w:val="en-GB"/>
        </w:rPr>
        <w:t xml:space="preserve">ss trip provided this does not </w:t>
      </w:r>
      <w:r w:rsidRPr="008757A3">
        <w:rPr>
          <w:rFonts w:ascii="Arial" w:hAnsi="Arial" w:cs="Arial"/>
          <w:sz w:val="20"/>
          <w:lang w:val="en-GB"/>
        </w:rPr>
        <w:t>result in additional costs to the BCSLA. Any additional costs are to be paid for by the individual.</w:t>
      </w:r>
    </w:p>
    <w:p w14:paraId="584CCE32" w14:textId="77777777" w:rsidR="00CB3892" w:rsidRPr="008757A3" w:rsidRDefault="00CB3892" w:rsidP="00DB01A5">
      <w:pPr>
        <w:pStyle w:val="ListParagraph"/>
        <w:numPr>
          <w:ilvl w:val="0"/>
          <w:numId w:val="9"/>
        </w:numPr>
        <w:ind w:left="360"/>
        <w:rPr>
          <w:rFonts w:ascii="Arial" w:hAnsi="Arial" w:cs="Arial"/>
          <w:sz w:val="20"/>
          <w:lang w:val="en-GB"/>
        </w:rPr>
      </w:pPr>
      <w:r w:rsidRPr="008757A3">
        <w:rPr>
          <w:rFonts w:ascii="Arial" w:hAnsi="Arial" w:cs="Arial"/>
          <w:sz w:val="20"/>
          <w:lang w:val="en-GB"/>
        </w:rPr>
        <w:t>Frequent flier programs: Members may retain any frequent flier benefits.</w:t>
      </w:r>
    </w:p>
    <w:p w14:paraId="158F3114" w14:textId="77777777" w:rsidR="00CB3892" w:rsidRPr="00CB3892" w:rsidRDefault="00CB3892" w:rsidP="00E77A45">
      <w:pPr>
        <w:rPr>
          <w:rFonts w:ascii="Arial" w:hAnsi="Arial" w:cs="Arial"/>
          <w:i/>
          <w:sz w:val="20"/>
          <w:lang w:val="en-GB"/>
        </w:rPr>
      </w:pPr>
    </w:p>
    <w:p w14:paraId="793C5E2C" w14:textId="77777777" w:rsidR="00CB3892" w:rsidRPr="007C2540" w:rsidRDefault="00CB3892" w:rsidP="00E77A45">
      <w:pPr>
        <w:rPr>
          <w:rFonts w:ascii="Arial" w:hAnsi="Arial" w:cs="Arial"/>
          <w:i/>
          <w:sz w:val="16"/>
          <w:szCs w:val="16"/>
          <w:lang w:val="en-GB"/>
        </w:rPr>
      </w:pPr>
      <w:r w:rsidRPr="007C2540">
        <w:rPr>
          <w:rFonts w:ascii="Arial" w:hAnsi="Arial" w:cs="Arial"/>
          <w:i/>
          <w:sz w:val="16"/>
          <w:szCs w:val="16"/>
          <w:lang w:val="en-GB"/>
        </w:rPr>
        <w:t>Note: The BCSLA will not consider reimbursement of parking or traffic tickets costs for members using their personal or rental cars, nor will the BCSLA reimburse damage costs or insurance deductible charges on personal or rental cars.</w:t>
      </w:r>
    </w:p>
    <w:p w14:paraId="1BF5C1F0" w14:textId="28D53944" w:rsidR="00C00F27" w:rsidRDefault="00C00F27" w:rsidP="00E77A45">
      <w:pPr>
        <w:rPr>
          <w:rFonts w:ascii="Arial" w:hAnsi="Arial" w:cs="Arial"/>
          <w:sz w:val="18"/>
          <w:szCs w:val="18"/>
          <w:lang w:val="en-GB"/>
        </w:rPr>
      </w:pPr>
    </w:p>
    <w:p w14:paraId="5DD4DC4A" w14:textId="45F42CAD" w:rsidR="00015F80" w:rsidRPr="00015F80" w:rsidRDefault="00015F80" w:rsidP="00015F80">
      <w:pPr>
        <w:tabs>
          <w:tab w:val="left" w:pos="500"/>
        </w:tabs>
        <w:ind w:right="-20"/>
        <w:rPr>
          <w:rFonts w:ascii="Arial" w:eastAsia="Arial" w:hAnsi="Arial" w:cs="Arial"/>
          <w:sz w:val="19"/>
          <w:szCs w:val="19"/>
        </w:rPr>
      </w:pPr>
      <w:r>
        <w:rPr>
          <w:rFonts w:ascii="Arial" w:eastAsia="Arial" w:hAnsi="Arial" w:cs="Arial"/>
          <w:sz w:val="19"/>
          <w:szCs w:val="19"/>
        </w:rPr>
        <w:t>Updated August 25, 2023_YY</w:t>
      </w:r>
    </w:p>
    <w:sectPr w:rsidR="00015F80" w:rsidRPr="00015F80" w:rsidSect="00E47E1D">
      <w:headerReference w:type="default" r:id="rId12"/>
      <w:footerReference w:type="default" r:id="rId13"/>
      <w:pgSz w:w="12240" w:h="15840"/>
      <w:pgMar w:top="720" w:right="900" w:bottom="360" w:left="900" w:header="1701"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8C8E" w14:textId="77777777" w:rsidR="00DE687B" w:rsidRDefault="00DE687B" w:rsidP="00181D95">
      <w:r>
        <w:separator/>
      </w:r>
    </w:p>
  </w:endnote>
  <w:endnote w:type="continuationSeparator" w:id="0">
    <w:p w14:paraId="00333FDE" w14:textId="77777777" w:rsidR="00DE687B" w:rsidRDefault="00DE687B" w:rsidP="0018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E25D" w14:textId="77777777" w:rsidR="00E47E1D" w:rsidRPr="001B7636" w:rsidRDefault="00E47E1D" w:rsidP="00E47E1D">
    <w:pPr>
      <w:pStyle w:val="4BCSLALandAcknowledgment"/>
    </w:pPr>
    <w:r w:rsidRPr="001B7636">
      <w:t>The BCSLA offices are located on unceded Coast Salish territories of the xʷmәθkʷәy̓әm (Musqueam), Skwxwú7mesh (Squamish), and sәl̓ilwәtaɁɬ (Tsleil-Waututh) First Nations. We recognize and respect the history, languages, and cultures of the First Nations, Métis, Inuit, and all First Peoples of Canada, whose presence continues to enrich our organization, our lives and our country.</w:t>
    </w:r>
  </w:p>
  <w:p w14:paraId="54DAFD8C" w14:textId="77777777" w:rsidR="00E47E1D" w:rsidRPr="001B7636" w:rsidRDefault="00E47E1D" w:rsidP="00E47E1D">
    <w:pPr>
      <w:pStyle w:val="4BCSLALandAcknowledgment"/>
    </w:pPr>
  </w:p>
  <w:p w14:paraId="703DD61F" w14:textId="77777777" w:rsidR="00E47E1D" w:rsidRDefault="00E47E1D" w:rsidP="00E47E1D">
    <w:pPr>
      <w:pStyle w:val="5BCSLAFooter"/>
      <w:rPr>
        <w:rFonts w:eastAsia="Calibri"/>
        <w:b w:val="0"/>
        <w:noProof w:val="0"/>
        <w:color w:val="8A8B8A"/>
        <w:lang w:eastAsia="en-CA"/>
      </w:rPr>
    </w:pPr>
  </w:p>
  <w:p w14:paraId="20B7EC20" w14:textId="4AB55045" w:rsidR="00DB01A5" w:rsidRPr="00E47E1D" w:rsidRDefault="00E47E1D" w:rsidP="00E47E1D">
    <w:pPr>
      <w:pStyle w:val="5BCSLAFooter"/>
    </w:pPr>
    <w:r w:rsidRPr="00D21D3C">
      <w:t xml:space="preserve">450-355 Burrard Street, Vancouver, BC </w:t>
    </w:r>
    <w:r>
      <w:t xml:space="preserve"> </w:t>
    </w:r>
    <w:r w:rsidRPr="00D21D3C">
      <w:t xml:space="preserve">V6C 2G8   |   (604) 682-5610   |   (855) 682-5610   |   admin@bcsla.org   |   www.bcsla.org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F400" w14:textId="77777777" w:rsidR="00DE687B" w:rsidRDefault="00DE687B" w:rsidP="00181D95">
      <w:r>
        <w:separator/>
      </w:r>
    </w:p>
  </w:footnote>
  <w:footnote w:type="continuationSeparator" w:id="0">
    <w:p w14:paraId="06D98DDE" w14:textId="77777777" w:rsidR="00DE687B" w:rsidRDefault="00DE687B" w:rsidP="00181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9264" w14:textId="77777777" w:rsidR="00E47E1D" w:rsidRDefault="00E47E1D" w:rsidP="00E47E1D">
    <w:r w:rsidRPr="00570576">
      <w:rPr>
        <w:noProof/>
      </w:rPr>
      <mc:AlternateContent>
        <mc:Choice Requires="wps">
          <w:drawing>
            <wp:anchor distT="0" distB="0" distL="114300" distR="114300" simplePos="0" relativeHeight="251673600" behindDoc="1" locked="0" layoutInCell="0" allowOverlap="1" wp14:anchorId="7EFCD42D" wp14:editId="4464B7FC">
              <wp:simplePos x="0" y="0"/>
              <wp:positionH relativeFrom="rightMargin">
                <wp:posOffset>-1838960</wp:posOffset>
              </wp:positionH>
              <wp:positionV relativeFrom="topMargin">
                <wp:posOffset>539115</wp:posOffset>
              </wp:positionV>
              <wp:extent cx="2070000" cy="673200"/>
              <wp:effectExtent l="0" t="0" r="0" b="0"/>
              <wp:wrapNone/>
              <wp:docPr id="8" name="PowerPlusWaterMarkObject1450476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0000" cy="673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5A8815" w14:textId="1BB83C76" w:rsidR="00E47E1D" w:rsidRPr="00C027D7" w:rsidRDefault="00E47E1D" w:rsidP="00E47E1D">
                          <w:pPr>
                            <w:pStyle w:val="NormalWeb"/>
                            <w:spacing w:before="0" w:beforeAutospacing="0" w:after="0" w:afterAutospacing="0"/>
                            <w:jc w:val="center"/>
                            <w:rPr>
                              <w:color w:val="BFBFBF" w:themeColor="background1" w:themeShade="BF"/>
                              <w:sz w:val="32"/>
                              <w:szCs w:val="32"/>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EFCD42D" id="_x0000_t202" coordsize="21600,21600" o:spt="202" path="m,l,21600r21600,l21600,xe">
              <v:stroke joinstyle="miter"/>
              <v:path gradientshapeok="t" o:connecttype="rect"/>
            </v:shapetype>
            <v:shape id="PowerPlusWaterMarkObject1450476618" o:spid="_x0000_s1026" type="#_x0000_t202" style="position:absolute;margin-left:-144.8pt;margin-top:42.45pt;width:163pt;height:53pt;z-index:-251642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" o:allowincell="f" filled="f" stroked="f">
              <v:stroke joinstyle="round"/>
              <v:path arrowok="t"/>
              <v:textbox>
                <w:txbxContent>
                  <w:p w14:paraId="2B5A8815" w14:textId="1BB83C76" w:rsidR="00E47E1D" w:rsidRPr="00C027D7" w:rsidRDefault="00E47E1D" w:rsidP="00E47E1D">
                    <w:pPr>
                      <w:pStyle w:val="NormalWeb"/>
                      <w:spacing w:before="0" w:beforeAutospacing="0" w:after="0" w:afterAutospacing="0"/>
                      <w:jc w:val="center"/>
                      <w:rPr>
                        <w:color w:val="BFBFBF" w:themeColor="background1" w:themeShade="BF"/>
                        <w:sz w:val="32"/>
                        <w:szCs w:val="32"/>
                      </w:rPr>
                    </w:pPr>
                  </w:p>
                </w:txbxContent>
              </v:textbox>
              <w10:wrap anchorx="margin" anchory="margin"/>
            </v:shape>
          </w:pict>
        </mc:Fallback>
      </mc:AlternateContent>
    </w:r>
    <w:r w:rsidRPr="006A0EFB">
      <w:rPr>
        <w:rFonts w:eastAsia="Arial"/>
        <w:noProof/>
      </w:rPr>
      <w:drawing>
        <wp:anchor distT="0" distB="0" distL="114300" distR="114300" simplePos="0" relativeHeight="251657216" behindDoc="1" locked="0" layoutInCell="1" allowOverlap="1" wp14:anchorId="66F31F47" wp14:editId="1803D3BE">
          <wp:simplePos x="0" y="0"/>
          <wp:positionH relativeFrom="page">
            <wp:posOffset>774065</wp:posOffset>
          </wp:positionH>
          <wp:positionV relativeFrom="page">
            <wp:posOffset>774065</wp:posOffset>
          </wp:positionV>
          <wp:extent cx="3391200" cy="374400"/>
          <wp:effectExtent l="0" t="0" r="0" b="0"/>
          <wp:wrapNone/>
          <wp:docPr id="1643539681" name="Picture 164353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91200" cy="374400"/>
                  </a:xfrm>
                  <a:prstGeom prst="rect">
                    <a:avLst/>
                  </a:prstGeom>
                </pic:spPr>
              </pic:pic>
            </a:graphicData>
          </a:graphic>
          <wp14:sizeRelH relativeFrom="margin">
            <wp14:pctWidth>0</wp14:pctWidth>
          </wp14:sizeRelH>
          <wp14:sizeRelV relativeFrom="margin">
            <wp14:pctHeight>0</wp14:pctHeight>
          </wp14:sizeRelV>
        </wp:anchor>
      </w:drawing>
    </w:r>
  </w:p>
  <w:p w14:paraId="1977814D" w14:textId="2C039F58" w:rsidR="00E77A45" w:rsidRDefault="00E77A45">
    <w:pPr>
      <w:pStyle w:val="Header"/>
    </w:pPr>
  </w:p>
  <w:p w14:paraId="18A821F2" w14:textId="77777777" w:rsidR="00E77A45" w:rsidRDefault="00E7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11A36"/>
    <w:multiLevelType w:val="hybridMultilevel"/>
    <w:tmpl w:val="74F8D692"/>
    <w:lvl w:ilvl="0" w:tplc="4BC07E6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2CFD1371"/>
    <w:multiLevelType w:val="hybridMultilevel"/>
    <w:tmpl w:val="00D2B7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3D4137C"/>
    <w:multiLevelType w:val="hybridMultilevel"/>
    <w:tmpl w:val="0FA0D4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661063"/>
    <w:multiLevelType w:val="hybridMultilevel"/>
    <w:tmpl w:val="ADD8B0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5FD2F53"/>
    <w:multiLevelType w:val="hybridMultilevel"/>
    <w:tmpl w:val="65AABAC6"/>
    <w:lvl w:ilvl="0" w:tplc="1009000F">
      <w:start w:val="1"/>
      <w:numFmt w:val="decimal"/>
      <w:lvlText w:val="%1."/>
      <w:lvlJc w:val="left"/>
      <w:pPr>
        <w:tabs>
          <w:tab w:val="num" w:pos="1620"/>
        </w:tabs>
        <w:ind w:left="1620" w:hanging="360"/>
      </w:pPr>
    </w:lvl>
    <w:lvl w:ilvl="1" w:tplc="10090019">
      <w:start w:val="1"/>
      <w:numFmt w:val="lowerLetter"/>
      <w:lvlText w:val="%2."/>
      <w:lvlJc w:val="left"/>
      <w:pPr>
        <w:tabs>
          <w:tab w:val="num" w:pos="2340"/>
        </w:tabs>
        <w:ind w:left="2340" w:hanging="360"/>
      </w:pPr>
    </w:lvl>
    <w:lvl w:ilvl="2" w:tplc="1009001B">
      <w:start w:val="1"/>
      <w:numFmt w:val="lowerRoman"/>
      <w:lvlText w:val="%3."/>
      <w:lvlJc w:val="right"/>
      <w:pPr>
        <w:tabs>
          <w:tab w:val="num" w:pos="3060"/>
        </w:tabs>
        <w:ind w:left="3060" w:hanging="180"/>
      </w:pPr>
    </w:lvl>
    <w:lvl w:ilvl="3" w:tplc="1009000F">
      <w:start w:val="1"/>
      <w:numFmt w:val="decimal"/>
      <w:lvlText w:val="%4."/>
      <w:lvlJc w:val="left"/>
      <w:pPr>
        <w:tabs>
          <w:tab w:val="num" w:pos="3780"/>
        </w:tabs>
        <w:ind w:left="3780" w:hanging="360"/>
      </w:pPr>
    </w:lvl>
    <w:lvl w:ilvl="4" w:tplc="10090019">
      <w:start w:val="1"/>
      <w:numFmt w:val="lowerLetter"/>
      <w:lvlText w:val="%5."/>
      <w:lvlJc w:val="left"/>
      <w:pPr>
        <w:tabs>
          <w:tab w:val="num" w:pos="4500"/>
        </w:tabs>
        <w:ind w:left="4500" w:hanging="360"/>
      </w:pPr>
    </w:lvl>
    <w:lvl w:ilvl="5" w:tplc="1009001B">
      <w:start w:val="1"/>
      <w:numFmt w:val="lowerRoman"/>
      <w:lvlText w:val="%6."/>
      <w:lvlJc w:val="right"/>
      <w:pPr>
        <w:tabs>
          <w:tab w:val="num" w:pos="5220"/>
        </w:tabs>
        <w:ind w:left="5220" w:hanging="180"/>
      </w:pPr>
    </w:lvl>
    <w:lvl w:ilvl="6" w:tplc="1009000F">
      <w:start w:val="1"/>
      <w:numFmt w:val="decimal"/>
      <w:lvlText w:val="%7."/>
      <w:lvlJc w:val="left"/>
      <w:pPr>
        <w:tabs>
          <w:tab w:val="num" w:pos="5940"/>
        </w:tabs>
        <w:ind w:left="5940" w:hanging="360"/>
      </w:pPr>
    </w:lvl>
    <w:lvl w:ilvl="7" w:tplc="10090019">
      <w:start w:val="1"/>
      <w:numFmt w:val="lowerLetter"/>
      <w:lvlText w:val="%8."/>
      <w:lvlJc w:val="left"/>
      <w:pPr>
        <w:tabs>
          <w:tab w:val="num" w:pos="6660"/>
        </w:tabs>
        <w:ind w:left="6660" w:hanging="360"/>
      </w:pPr>
    </w:lvl>
    <w:lvl w:ilvl="8" w:tplc="1009001B">
      <w:start w:val="1"/>
      <w:numFmt w:val="lowerRoman"/>
      <w:lvlText w:val="%9."/>
      <w:lvlJc w:val="right"/>
      <w:pPr>
        <w:tabs>
          <w:tab w:val="num" w:pos="7380"/>
        </w:tabs>
        <w:ind w:left="7380" w:hanging="180"/>
      </w:pPr>
    </w:lvl>
  </w:abstractNum>
  <w:abstractNum w:abstractNumId="5" w15:restartNumberingAfterBreak="0">
    <w:nsid w:val="51A15DD9"/>
    <w:multiLevelType w:val="hybridMultilevel"/>
    <w:tmpl w:val="0AE2FCC4"/>
    <w:lvl w:ilvl="0" w:tplc="4BC07E66">
      <w:start w:val="1"/>
      <w:numFmt w:val="decimal"/>
      <w:lvlText w:val="%1"/>
      <w:lvlJc w:val="left"/>
      <w:pPr>
        <w:ind w:left="-72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5A8B4C99"/>
    <w:multiLevelType w:val="hybridMultilevel"/>
    <w:tmpl w:val="BE728D8A"/>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7" w15:restartNumberingAfterBreak="0">
    <w:nsid w:val="6ED41963"/>
    <w:multiLevelType w:val="hybridMultilevel"/>
    <w:tmpl w:val="ADA644BC"/>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53059237">
    <w:abstractNumId w:val="2"/>
  </w:num>
  <w:num w:numId="2" w16cid:durableId="1956791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0725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2302118">
    <w:abstractNumId w:val="0"/>
  </w:num>
  <w:num w:numId="5" w16cid:durableId="113791491">
    <w:abstractNumId w:val="5"/>
  </w:num>
  <w:num w:numId="6" w16cid:durableId="437413795">
    <w:abstractNumId w:val="4"/>
  </w:num>
  <w:num w:numId="7" w16cid:durableId="660810562">
    <w:abstractNumId w:val="3"/>
  </w:num>
  <w:num w:numId="8" w16cid:durableId="1019812316">
    <w:abstractNumId w:val="1"/>
  </w:num>
  <w:num w:numId="9" w16cid:durableId="750541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9F5"/>
    <w:rsid w:val="00015F80"/>
    <w:rsid w:val="0001777A"/>
    <w:rsid w:val="000647F5"/>
    <w:rsid w:val="000838C9"/>
    <w:rsid w:val="00084A13"/>
    <w:rsid w:val="00094C8E"/>
    <w:rsid w:val="001139F5"/>
    <w:rsid w:val="00116272"/>
    <w:rsid w:val="0012041E"/>
    <w:rsid w:val="0012750A"/>
    <w:rsid w:val="001644E5"/>
    <w:rsid w:val="00181D95"/>
    <w:rsid w:val="00187C54"/>
    <w:rsid w:val="001C2268"/>
    <w:rsid w:val="001D14D2"/>
    <w:rsid w:val="001E1E2B"/>
    <w:rsid w:val="00274ED5"/>
    <w:rsid w:val="002A0B8F"/>
    <w:rsid w:val="002A69C2"/>
    <w:rsid w:val="002B0DE4"/>
    <w:rsid w:val="00372FDE"/>
    <w:rsid w:val="003A5D8D"/>
    <w:rsid w:val="003C64CA"/>
    <w:rsid w:val="00401221"/>
    <w:rsid w:val="004724AE"/>
    <w:rsid w:val="004F466D"/>
    <w:rsid w:val="0055534F"/>
    <w:rsid w:val="00561C8C"/>
    <w:rsid w:val="005748AE"/>
    <w:rsid w:val="005755F6"/>
    <w:rsid w:val="005E1509"/>
    <w:rsid w:val="00601C83"/>
    <w:rsid w:val="006078D0"/>
    <w:rsid w:val="00644BAA"/>
    <w:rsid w:val="0065229A"/>
    <w:rsid w:val="00684E0B"/>
    <w:rsid w:val="00686090"/>
    <w:rsid w:val="006B5C3B"/>
    <w:rsid w:val="006B63E8"/>
    <w:rsid w:val="006D567A"/>
    <w:rsid w:val="006F2399"/>
    <w:rsid w:val="007333AC"/>
    <w:rsid w:val="00767171"/>
    <w:rsid w:val="007873B5"/>
    <w:rsid w:val="007B78AD"/>
    <w:rsid w:val="007C2540"/>
    <w:rsid w:val="007C7922"/>
    <w:rsid w:val="008066D0"/>
    <w:rsid w:val="0081741F"/>
    <w:rsid w:val="008205C3"/>
    <w:rsid w:val="00835A26"/>
    <w:rsid w:val="00835C2E"/>
    <w:rsid w:val="008757A3"/>
    <w:rsid w:val="00971DA9"/>
    <w:rsid w:val="009F09B6"/>
    <w:rsid w:val="009F35A8"/>
    <w:rsid w:val="00A4416F"/>
    <w:rsid w:val="00A61FFE"/>
    <w:rsid w:val="00AF2C60"/>
    <w:rsid w:val="00B247C5"/>
    <w:rsid w:val="00BA4401"/>
    <w:rsid w:val="00BB16AB"/>
    <w:rsid w:val="00BB589C"/>
    <w:rsid w:val="00BC0FD7"/>
    <w:rsid w:val="00BD5ACA"/>
    <w:rsid w:val="00C00F27"/>
    <w:rsid w:val="00C44C9A"/>
    <w:rsid w:val="00CB3892"/>
    <w:rsid w:val="00CC42D3"/>
    <w:rsid w:val="00D15136"/>
    <w:rsid w:val="00D22C1E"/>
    <w:rsid w:val="00D43CDB"/>
    <w:rsid w:val="00D52FAD"/>
    <w:rsid w:val="00D54536"/>
    <w:rsid w:val="00D6373E"/>
    <w:rsid w:val="00D7389B"/>
    <w:rsid w:val="00DB01A5"/>
    <w:rsid w:val="00DE687B"/>
    <w:rsid w:val="00E2650F"/>
    <w:rsid w:val="00E36E82"/>
    <w:rsid w:val="00E47E1D"/>
    <w:rsid w:val="00E77A45"/>
    <w:rsid w:val="00EC1911"/>
    <w:rsid w:val="00EE2C97"/>
    <w:rsid w:val="00EE6439"/>
    <w:rsid w:val="00F10772"/>
    <w:rsid w:val="00F35ABD"/>
    <w:rsid w:val="00F61EB9"/>
    <w:rsid w:val="00F816C7"/>
    <w:rsid w:val="00FC4E4D"/>
    <w:rsid w:val="00FD212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4665F"/>
  <w15:docId w15:val="{964FD1D2-55A3-43D4-90A3-9E7231F6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line="360" w:lineRule="auto"/>
      <w:ind w:left="-540"/>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90"/>
    </w:pPr>
    <w:rPr>
      <w:rFonts w:ascii="Arial" w:hAnsi="Arial"/>
      <w:sz w:val="20"/>
    </w:rPr>
  </w:style>
  <w:style w:type="paragraph" w:styleId="DocumentMap">
    <w:name w:val="Document Map"/>
    <w:basedOn w:val="Normal"/>
    <w:semiHidden/>
    <w:pPr>
      <w:shd w:val="clear" w:color="auto" w:fill="000080"/>
    </w:pPr>
    <w:rPr>
      <w:rFonts w:ascii="Helvetica" w:eastAsia="MS Gothic" w:hAnsi="Helvetica"/>
    </w:rPr>
  </w:style>
  <w:style w:type="paragraph" w:styleId="BlockText">
    <w:name w:val="Block Text"/>
    <w:basedOn w:val="Normal"/>
    <w:pPr>
      <w:ind w:left="4020" w:right="-25"/>
    </w:pPr>
    <w:rPr>
      <w:rFonts w:ascii="Arial" w:hAnsi="Arial"/>
      <w:sz w:val="20"/>
    </w:rPr>
  </w:style>
  <w:style w:type="paragraph" w:styleId="BodyTextIndent2">
    <w:name w:val="Body Text Indent 2"/>
    <w:basedOn w:val="Normal"/>
    <w:pPr>
      <w:spacing w:line="280" w:lineRule="exact"/>
      <w:ind w:left="-540"/>
    </w:pPr>
  </w:style>
  <w:style w:type="character" w:styleId="Emphasis">
    <w:name w:val="Emphasis"/>
    <w:qFormat/>
    <w:rsid w:val="00AF2C60"/>
    <w:rPr>
      <w:i/>
      <w:iCs/>
    </w:rPr>
  </w:style>
  <w:style w:type="paragraph" w:styleId="NormalWeb">
    <w:name w:val="Normal (Web)"/>
    <w:basedOn w:val="Normal"/>
    <w:uiPriority w:val="99"/>
    <w:rsid w:val="002B0DE4"/>
    <w:pPr>
      <w:spacing w:before="100" w:beforeAutospacing="1" w:after="100" w:afterAutospacing="1"/>
    </w:pPr>
    <w:rPr>
      <w:rFonts w:ascii="Times New Roman" w:eastAsia="Times New Roman" w:hAnsi="Times New Roman"/>
      <w:szCs w:val="24"/>
    </w:rPr>
  </w:style>
  <w:style w:type="paragraph" w:styleId="PlainText">
    <w:name w:val="Plain Text"/>
    <w:basedOn w:val="Normal"/>
    <w:rsid w:val="006B5C3B"/>
    <w:rPr>
      <w:rFonts w:ascii="Courier New" w:eastAsia="Times New Roman" w:hAnsi="Courier New" w:cs="Courier New"/>
      <w:sz w:val="20"/>
    </w:rPr>
  </w:style>
  <w:style w:type="character" w:styleId="CommentReference">
    <w:name w:val="annotation reference"/>
    <w:semiHidden/>
    <w:rsid w:val="00684E0B"/>
    <w:rPr>
      <w:sz w:val="18"/>
    </w:rPr>
  </w:style>
  <w:style w:type="paragraph" w:styleId="CommentText">
    <w:name w:val="annotation text"/>
    <w:basedOn w:val="Normal"/>
    <w:semiHidden/>
    <w:rsid w:val="00684E0B"/>
    <w:rPr>
      <w:rFonts w:ascii="Times New Roman" w:eastAsia="Times New Roman" w:hAnsi="Times New Roman"/>
      <w:szCs w:val="24"/>
    </w:rPr>
  </w:style>
  <w:style w:type="paragraph" w:styleId="BalloonText">
    <w:name w:val="Balloon Text"/>
    <w:basedOn w:val="Normal"/>
    <w:semiHidden/>
    <w:rsid w:val="00684E0B"/>
    <w:rPr>
      <w:rFonts w:ascii="Tahoma" w:hAnsi="Tahoma" w:cs="Tahoma"/>
      <w:sz w:val="16"/>
      <w:szCs w:val="16"/>
    </w:rPr>
  </w:style>
  <w:style w:type="paragraph" w:styleId="Revision">
    <w:name w:val="Revision"/>
    <w:hidden/>
    <w:uiPriority w:val="99"/>
    <w:semiHidden/>
    <w:rsid w:val="007333AC"/>
    <w:rPr>
      <w:sz w:val="24"/>
      <w:lang w:val="en-US" w:eastAsia="en-US"/>
    </w:rPr>
  </w:style>
  <w:style w:type="character" w:customStyle="1" w:styleId="HeaderChar">
    <w:name w:val="Header Char"/>
    <w:basedOn w:val="DefaultParagraphFont"/>
    <w:link w:val="Header"/>
    <w:uiPriority w:val="99"/>
    <w:rsid w:val="00561C8C"/>
    <w:rPr>
      <w:sz w:val="24"/>
      <w:lang w:val="en-US" w:eastAsia="en-US"/>
    </w:rPr>
  </w:style>
  <w:style w:type="paragraph" w:styleId="ListParagraph">
    <w:name w:val="List Paragraph"/>
    <w:basedOn w:val="Normal"/>
    <w:uiPriority w:val="34"/>
    <w:qFormat/>
    <w:rsid w:val="00EC1911"/>
    <w:pPr>
      <w:ind w:left="720"/>
      <w:contextualSpacing/>
    </w:pPr>
  </w:style>
  <w:style w:type="character" w:styleId="Hyperlink">
    <w:name w:val="Hyperlink"/>
    <w:basedOn w:val="DefaultParagraphFont"/>
    <w:unhideWhenUsed/>
    <w:rsid w:val="00CB3892"/>
    <w:rPr>
      <w:color w:val="0000FF"/>
      <w:u w:val="single"/>
    </w:rPr>
  </w:style>
  <w:style w:type="paragraph" w:customStyle="1" w:styleId="4BCSLALandAcknowledgment">
    <w:name w:val="4) BCSLA Land Acknowledgment"/>
    <w:basedOn w:val="Normal"/>
    <w:qFormat/>
    <w:rsid w:val="00E47E1D"/>
    <w:pPr>
      <w:autoSpaceDE w:val="0"/>
      <w:autoSpaceDN w:val="0"/>
      <w:adjustRightInd w:val="0"/>
      <w:spacing w:line="225" w:lineRule="exact"/>
    </w:pPr>
    <w:rPr>
      <w:rFonts w:ascii="Arial" w:eastAsia="Calibri" w:hAnsi="Arial" w:cs="Arial"/>
      <w:color w:val="8A8B8A"/>
      <w:sz w:val="16"/>
      <w:szCs w:val="14"/>
      <w:lang w:eastAsia="en-CA"/>
    </w:rPr>
  </w:style>
  <w:style w:type="paragraph" w:customStyle="1" w:styleId="5BCSLAFooter">
    <w:name w:val="5) BCSLA Footer"/>
    <w:basedOn w:val="Normal"/>
    <w:qFormat/>
    <w:rsid w:val="00E47E1D"/>
    <w:pPr>
      <w:tabs>
        <w:tab w:val="center" w:pos="4680"/>
      </w:tabs>
      <w:spacing w:line="180" w:lineRule="exact"/>
      <w:ind w:right="51"/>
    </w:pPr>
    <w:rPr>
      <w:rFonts w:ascii="Arial" w:eastAsia="Arial" w:hAnsi="Arial" w:cs="Arial"/>
      <w:b/>
      <w:noProof/>
      <w:color w:val="3A4C00"/>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213">
      <w:bodyDiv w:val="1"/>
      <w:marLeft w:val="0"/>
      <w:marRight w:val="0"/>
      <w:marTop w:val="0"/>
      <w:marBottom w:val="0"/>
      <w:divBdr>
        <w:top w:val="none" w:sz="0" w:space="0" w:color="auto"/>
        <w:left w:val="none" w:sz="0" w:space="0" w:color="auto"/>
        <w:bottom w:val="none" w:sz="0" w:space="0" w:color="auto"/>
        <w:right w:val="none" w:sz="0" w:space="0" w:color="auto"/>
      </w:divBdr>
    </w:div>
    <w:div w:id="4938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a.gc.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60ca606-724e-476c-b4ee-b873ace659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C291A58D7F474A8ED9C958D1053D4D" ma:contentTypeVersion="17" ma:contentTypeDescription="Create a new document." ma:contentTypeScope="" ma:versionID="8a3bf9131ca1c81712305ab0e202875a">
  <xsd:schema xmlns:xsd="http://www.w3.org/2001/XMLSchema" xmlns:xs="http://www.w3.org/2001/XMLSchema" xmlns:p="http://schemas.microsoft.com/office/2006/metadata/properties" xmlns:ns2="1f157369-94ee-42ff-9975-0881f63be5f0" xmlns:ns3="f60ca606-724e-476c-b4ee-b873ace659ee" targetNamespace="http://schemas.microsoft.com/office/2006/metadata/properties" ma:root="true" ma:fieldsID="66aad2200ce8a6066fa1e5a605477cff" ns2:_="" ns3:_="">
    <xsd:import namespace="1f157369-94ee-42ff-9975-0881f63be5f0"/>
    <xsd:import namespace="f60ca606-724e-476c-b4ee-b873ace659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57369-94ee-42ff-9975-0881f63be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ca606-724e-476c-b4ee-b873ace659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2879b1-ade1-4652-be38-dd1392d890a1}" ma:internalName="TaxCatchAll" ma:showField="CatchAllData" ma:web="f60ca606-724e-476c-b4ee-b873ace659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6A07-E5EB-4449-BECD-0EE277709A5C}">
  <ds:schemaRefs>
    <ds:schemaRef ds:uri="http://schemas.microsoft.com/sharepoint/v3/contenttype/forms"/>
  </ds:schemaRefs>
</ds:datastoreItem>
</file>

<file path=customXml/itemProps2.xml><?xml version="1.0" encoding="utf-8"?>
<ds:datastoreItem xmlns:ds="http://schemas.openxmlformats.org/officeDocument/2006/customXml" ds:itemID="{EAF66987-D259-4324-8400-D5629876835D}">
  <ds:schemaRefs>
    <ds:schemaRef ds:uri="http://schemas.openxmlformats.org/officeDocument/2006/bibliography"/>
  </ds:schemaRefs>
</ds:datastoreItem>
</file>

<file path=customXml/itemProps3.xml><?xml version="1.0" encoding="utf-8"?>
<ds:datastoreItem xmlns:ds="http://schemas.openxmlformats.org/officeDocument/2006/customXml" ds:itemID="{29015B6D-DA10-4559-93DA-0D30178007B6}">
  <ds:schemaRefs>
    <ds:schemaRef ds:uri="http://schemas.microsoft.com/office/2006/metadata/properties"/>
    <ds:schemaRef ds:uri="http://schemas.microsoft.com/office/infopath/2007/PartnerControls"/>
    <ds:schemaRef ds:uri="f60ca606-724e-476c-b4ee-b873ace659ee"/>
  </ds:schemaRefs>
</ds:datastoreItem>
</file>

<file path=customXml/itemProps4.xml><?xml version="1.0" encoding="utf-8"?>
<ds:datastoreItem xmlns:ds="http://schemas.openxmlformats.org/officeDocument/2006/customXml" ds:itemID="{872A229D-7B7D-4A95-8E62-DA20CDA5D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57369-94ee-42ff-9975-0881f63be5f0"/>
    <ds:schemaRef ds:uri="f60ca606-724e-476c-b4ee-b873ace65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Ullamcorper 30, 2008</vt:lpstr>
    </vt:vector>
  </TitlesOfParts>
  <Company>Commication Design</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Ullamcorper 30, 2008</dc:title>
  <dc:creator>Tara Culham</dc:creator>
  <cp:lastModifiedBy>Yeci Yeung</cp:lastModifiedBy>
  <cp:revision>5</cp:revision>
  <cp:lastPrinted>2018-11-19T21:51:00Z</cp:lastPrinted>
  <dcterms:created xsi:type="dcterms:W3CDTF">2018-11-19T21:50:00Z</dcterms:created>
  <dcterms:modified xsi:type="dcterms:W3CDTF">2023-08-25T20:25:00Z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0x0101005EC291A58D7F474A8ED9C958D1053D4D</vt:lpwstr>
  </property>
  <property fmtid="{D5CDD505-2E9C-101B-9397-08002B2CF9AE}" pid="3" name="GrammarlyDocumentId">
    <vt:lpwstr>34395e5f4b01c4da35c3865d86c1e45a38834dd5297e74acd21ff20c5fd001d0</vt:lpwstr>
  </property>
</Properties>
</file>